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center"/>
        <w:textAlignment w:val="baseline"/>
        <w:outlineLvl w:val="0"/>
        <w:rPr>
          <w:rFonts w:ascii="方正小标宋简体" w:hAnsi="方正小标宋简体" w:eastAsia="方正小标宋简体" w:cs="方正小标宋简体"/>
          <w:b w:val="0"/>
          <w:bCs w:val="0"/>
          <w:spacing w:val="-15"/>
          <w:sz w:val="44"/>
          <w:szCs w:val="32"/>
        </w:rPr>
      </w:pPr>
      <w:r>
        <w:rPr>
          <w:rFonts w:hint="eastAsia" w:ascii="方正小标宋简体" w:hAnsi="方正小标宋简体" w:eastAsia="方正小标宋简体" w:cs="方正小标宋简体"/>
          <w:b w:val="0"/>
          <w:bCs w:val="0"/>
          <w:spacing w:val="-15"/>
          <w:sz w:val="44"/>
          <w:szCs w:val="32"/>
          <w:lang w:val="en-US" w:eastAsia="zh-CN"/>
        </w:rPr>
        <w:t>中央集中福利彩票公益金</w:t>
      </w:r>
      <w:r>
        <w:rPr>
          <w:rFonts w:ascii="方正小标宋简体" w:hAnsi="方正小标宋简体" w:eastAsia="方正小标宋简体" w:cs="方正小标宋简体"/>
          <w:b w:val="0"/>
          <w:bCs w:val="0"/>
          <w:spacing w:val="-15"/>
          <w:sz w:val="44"/>
          <w:szCs w:val="32"/>
        </w:rPr>
        <w:t>转移支付</w:t>
      </w:r>
    </w:p>
    <w:p>
      <w:pPr>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center"/>
        <w:textAlignment w:val="baseline"/>
        <w:outlineLvl w:val="0"/>
        <w:rPr>
          <w:rFonts w:ascii="方正小标宋简体" w:hAnsi="方正小标宋简体" w:eastAsia="方正小标宋简体" w:cs="方正小标宋简体"/>
          <w:b w:val="0"/>
          <w:bCs w:val="0"/>
          <w:sz w:val="44"/>
          <w:szCs w:val="32"/>
        </w:rPr>
      </w:pPr>
      <w:r>
        <w:rPr>
          <w:rFonts w:ascii="方正小标宋简体" w:hAnsi="方正小标宋简体" w:eastAsia="方正小标宋简体" w:cs="方正小标宋简体"/>
          <w:b w:val="0"/>
          <w:bCs w:val="0"/>
          <w:spacing w:val="-15"/>
          <w:sz w:val="44"/>
          <w:szCs w:val="32"/>
        </w:rPr>
        <w:t>2023年度绩效自评报告</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0" w:firstLineChars="0"/>
        <w:jc w:val="both"/>
        <w:textAlignment w:val="baseline"/>
        <w:rPr>
          <w:rFonts w:ascii="仿宋_GB2312" w:hAnsi="仿宋_GB2312" w:eastAsia="仿宋_GB2312" w:cs="仿宋_GB2312"/>
          <w:b w:val="0"/>
          <w:bCs w:val="0"/>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一、绩效目标分解下达情况</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呼和浩特市民政局</w:t>
      </w:r>
      <w:r>
        <w:rPr>
          <w:rFonts w:hint="eastAsia" w:ascii="仿宋_GB2312" w:hAnsi="仿宋_GB2312" w:eastAsia="仿宋_GB2312" w:cs="仿宋_GB2312"/>
          <w:b w:val="0"/>
          <w:bCs w:val="0"/>
          <w:spacing w:val="2"/>
          <w:sz w:val="32"/>
          <w:szCs w:val="32"/>
          <w:lang w:val="en-US" w:eastAsia="zh-CN"/>
        </w:rPr>
        <w:t>2023年共收到</w:t>
      </w:r>
      <w:r>
        <w:rPr>
          <w:rFonts w:hint="eastAsia" w:ascii="仿宋_GB2312" w:hAnsi="仿宋_GB2312" w:eastAsia="仿宋_GB2312" w:cs="仿宋_GB2312"/>
          <w:b w:val="0"/>
          <w:bCs w:val="0"/>
          <w:spacing w:val="2"/>
          <w:sz w:val="32"/>
          <w:szCs w:val="32"/>
        </w:rPr>
        <w:t>中央集中福利彩票公益金</w:t>
      </w:r>
      <w:r>
        <w:rPr>
          <w:rFonts w:hint="eastAsia" w:ascii="仿宋_GB2312" w:hAnsi="仿宋_GB2312" w:eastAsia="仿宋_GB2312" w:cs="仿宋_GB2312"/>
          <w:b w:val="0"/>
          <w:bCs w:val="0"/>
          <w:spacing w:val="2"/>
          <w:sz w:val="32"/>
          <w:szCs w:val="32"/>
          <w:lang w:val="en-US" w:eastAsia="zh-CN"/>
        </w:rPr>
        <w:t>386</w:t>
      </w:r>
      <w:r>
        <w:rPr>
          <w:rFonts w:hint="eastAsia" w:ascii="仿宋_GB2312" w:hAnsi="仿宋_GB2312" w:eastAsia="仿宋_GB2312" w:cs="仿宋_GB2312"/>
          <w:b w:val="0"/>
          <w:bCs w:val="0"/>
          <w:spacing w:val="2"/>
          <w:sz w:val="32"/>
          <w:szCs w:val="32"/>
        </w:rPr>
        <w:t>万元</w:t>
      </w:r>
      <w:r>
        <w:rPr>
          <w:rFonts w:hint="eastAsia" w:ascii="仿宋_GB2312" w:hAnsi="仿宋_GB2312" w:eastAsia="仿宋_GB2312" w:cs="仿宋_GB2312"/>
          <w:b w:val="0"/>
          <w:bCs w:val="0"/>
          <w:spacing w:val="2"/>
          <w:sz w:val="32"/>
          <w:szCs w:val="32"/>
          <w:lang w:eastAsia="zh-CN"/>
        </w:rPr>
        <w:t>（提前下达中央公益金（内财社〔2022〕1619号）140万元，中央集中彩票公益金（内财社〔2023〕938号）</w:t>
      </w:r>
      <w:r>
        <w:rPr>
          <w:rFonts w:hint="eastAsia" w:ascii="仿宋_GB2312" w:hAnsi="仿宋_GB2312" w:eastAsia="仿宋_GB2312" w:cs="仿宋_GB2312"/>
          <w:b w:val="0"/>
          <w:bCs w:val="0"/>
          <w:spacing w:val="2"/>
          <w:sz w:val="32"/>
          <w:szCs w:val="32"/>
          <w:lang w:val="en-US" w:eastAsia="zh-CN"/>
        </w:rPr>
        <w:t>246万元</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中央集中福利彩票公益金转移支付至各旗县区97万元，留存市本级使用289万元</w:t>
      </w:r>
      <w:r>
        <w:rPr>
          <w:rFonts w:hint="eastAsia" w:ascii="仿宋_GB2312" w:hAnsi="仿宋_GB2312" w:eastAsia="仿宋_GB2312" w:cs="仿宋_GB2312"/>
          <w:b w:val="0"/>
          <w:bCs w:val="0"/>
          <w:spacing w:val="2"/>
          <w:sz w:val="32"/>
          <w:szCs w:val="32"/>
          <w:lang w:eastAsia="zh-CN"/>
        </w:rPr>
        <w:t>。</w:t>
      </w:r>
      <w:r>
        <w:rPr>
          <w:rFonts w:hint="default" w:ascii="仿宋_GB2312" w:hAnsi="仿宋_GB2312" w:eastAsia="仿宋_GB2312" w:cs="仿宋_GB2312"/>
          <w:b w:val="0"/>
          <w:bCs w:val="0"/>
          <w:spacing w:val="2"/>
          <w:sz w:val="32"/>
          <w:szCs w:val="32"/>
          <w:lang w:val="en-US" w:eastAsia="zh-CN"/>
        </w:rPr>
        <w:t>在细化下达预算时同步下达绩效目标，将有关资金纳入本级预算或对下转移支付绩效管理</w:t>
      </w:r>
      <w:r>
        <w:rPr>
          <w:rFonts w:hint="eastAsia" w:ascii="仿宋_GB2312" w:hAnsi="仿宋_GB2312" w:eastAsia="仿宋_GB2312" w:cs="仿宋_GB2312"/>
          <w:b w:val="0"/>
          <w:bCs w:val="0"/>
          <w:spacing w:val="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二、绩效情况分析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资金投入情况分析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中央资金预算</w:t>
      </w:r>
      <w:r>
        <w:rPr>
          <w:rFonts w:hint="eastAsia" w:ascii="仿宋_GB2312" w:hAnsi="仿宋_GB2312" w:eastAsia="仿宋_GB2312" w:cs="仿宋_GB2312"/>
          <w:b w:val="0"/>
          <w:bCs w:val="0"/>
          <w:spacing w:val="2"/>
          <w:sz w:val="32"/>
          <w:szCs w:val="32"/>
          <w:lang w:val="en-US" w:eastAsia="zh-CN"/>
        </w:rPr>
        <w:t>289</w:t>
      </w:r>
      <w:r>
        <w:rPr>
          <w:rFonts w:hint="eastAsia" w:ascii="仿宋_GB2312" w:hAnsi="仿宋_GB2312" w:eastAsia="仿宋_GB2312" w:cs="仿宋_GB2312"/>
          <w:b w:val="0"/>
          <w:bCs w:val="0"/>
          <w:spacing w:val="2"/>
          <w:sz w:val="32"/>
          <w:szCs w:val="32"/>
          <w:lang w:eastAsia="zh-CN"/>
        </w:rPr>
        <w:t>万元，截止</w:t>
      </w:r>
      <w:r>
        <w:rPr>
          <w:rFonts w:hint="eastAsia" w:ascii="仿宋_GB2312" w:hAnsi="仿宋_GB2312" w:eastAsia="仿宋_GB2312" w:cs="仿宋_GB2312"/>
          <w:b w:val="0"/>
          <w:bCs w:val="0"/>
          <w:spacing w:val="2"/>
          <w:sz w:val="32"/>
          <w:szCs w:val="32"/>
          <w:lang w:val="en-US" w:eastAsia="zh-CN"/>
        </w:rPr>
        <w:t>2024年6月使用</w:t>
      </w:r>
      <w:r>
        <w:rPr>
          <w:rFonts w:hint="eastAsia" w:ascii="仿宋_GB2312" w:hAnsi="仿宋_GB2312" w:eastAsia="仿宋_GB2312" w:cs="仿宋_GB2312"/>
          <w:b w:val="0"/>
          <w:bCs w:val="0"/>
          <w:spacing w:val="2"/>
          <w:sz w:val="32"/>
          <w:szCs w:val="32"/>
          <w:lang w:eastAsia="zh-CN"/>
        </w:rPr>
        <w:t>184.59万元。资金主要用于用于支持精神障碍社区康复157万元，市殡仪馆改造建设公益性公墓96万元，市儿童福利院孤儿助学2万元，儿童福利机构建设34万元。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资金管理情况分析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项目资金都是专款专户专用，无占用、挪用专项资金问题，资金使用情况良好。</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本项目资金分配科学，严格按照转移支付管理制度以及资金管理办法规定的范围和标准分配资金；资金下达及时，严格按照预算法及其实施条例、转移支付管理制度规定以及资金管理办法规定的时限要求分解下达；资金拨付合规，严格按照国库集中支付制度有关规定支付资金，未出现违规将资金从国库转入财政专户或支付到预算单位实有资金账户等问题；资金使用基本规范，本项目严格按照下达预算的科目和项目执行，未出现截留、挤占、挪用或擅自调整等问题；资金执行准确，按照上级下达和本级预算安排的金额执行，不存在执行数偏离预算数较多的问题；预算绩效管理科学，</w:t>
      </w:r>
      <w:r>
        <w:rPr>
          <w:rFonts w:hint="eastAsia" w:ascii="仿宋_GB2312" w:hAnsi="仿宋_GB2312" w:eastAsia="仿宋_GB2312" w:cs="仿宋_GB2312"/>
          <w:b w:val="0"/>
          <w:bCs w:val="0"/>
          <w:spacing w:val="2"/>
          <w:sz w:val="32"/>
          <w:szCs w:val="32"/>
          <w:lang w:val="en-US" w:eastAsia="zh-CN"/>
        </w:rPr>
        <w:t>按照规定</w:t>
      </w:r>
      <w:r>
        <w:rPr>
          <w:rFonts w:hint="default" w:ascii="仿宋_GB2312" w:hAnsi="仿宋_GB2312" w:eastAsia="仿宋_GB2312" w:cs="仿宋_GB2312"/>
          <w:b w:val="0"/>
          <w:bCs w:val="0"/>
          <w:spacing w:val="2"/>
          <w:sz w:val="32"/>
          <w:szCs w:val="32"/>
          <w:lang w:val="en-US" w:eastAsia="zh-CN"/>
        </w:rPr>
        <w:t>开展绩效监控和绩效评价；</w:t>
      </w:r>
      <w:bookmarkStart w:id="0" w:name="_GoBack"/>
      <w:bookmarkEnd w:id="0"/>
      <w:r>
        <w:rPr>
          <w:rFonts w:hint="default" w:ascii="仿宋_GB2312" w:hAnsi="仿宋_GB2312" w:eastAsia="仿宋_GB2312" w:cs="仿宋_GB2312"/>
          <w:b w:val="0"/>
          <w:bCs w:val="0"/>
          <w:spacing w:val="2"/>
          <w:sz w:val="32"/>
          <w:szCs w:val="32"/>
          <w:lang w:val="en-US" w:eastAsia="zh-CN"/>
        </w:rPr>
        <w:t>支出责任履行完善，对共同财政事权转移支付，按照财政事权和支出责任划分有关规定，足额安排资金履行本级支出责任。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总体绩效目标完成情况分析</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default" w:ascii="仿宋_GB2312" w:hAnsi="仿宋_GB2312" w:eastAsia="仿宋_GB2312" w:cs="仿宋_GB2312"/>
          <w:b w:val="0"/>
          <w:bCs w:val="0"/>
          <w:spacing w:val="2"/>
          <w:sz w:val="32"/>
          <w:szCs w:val="32"/>
          <w:lang w:val="en-US" w:eastAsia="zh-CN"/>
        </w:rPr>
        <w:t>基本实现年初设定的绩效目标。精神障碍社区康复正在按合同执行中，资金将按合同约定支付。公益性公墓还未施工，预计2024年开工建设。儿童福利院孤儿助学资金已按时发放完成。儿童福利机构建设更新正在执行中。以上</w:t>
      </w:r>
      <w:r>
        <w:rPr>
          <w:rFonts w:hint="eastAsia" w:ascii="仿宋_GB2312" w:hAnsi="仿宋_GB2312" w:eastAsia="仿宋_GB2312" w:cs="仿宋_GB2312"/>
          <w:b w:val="0"/>
          <w:bCs w:val="0"/>
          <w:spacing w:val="2"/>
          <w:sz w:val="32"/>
          <w:szCs w:val="32"/>
          <w:lang w:val="en-US" w:eastAsia="zh-CN"/>
        </w:rPr>
        <w:t>未</w:t>
      </w:r>
      <w:r>
        <w:rPr>
          <w:rFonts w:hint="default" w:ascii="仿宋_GB2312" w:hAnsi="仿宋_GB2312" w:eastAsia="仿宋_GB2312" w:cs="仿宋_GB2312"/>
          <w:b w:val="0"/>
          <w:bCs w:val="0"/>
          <w:spacing w:val="2"/>
          <w:sz w:val="32"/>
          <w:szCs w:val="32"/>
          <w:lang w:val="en-US" w:eastAsia="zh-CN"/>
        </w:rPr>
        <w:t>完成支付的项目已经按规定结转，预计本年内完成。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outlineLvl w:val="1"/>
        <w:rPr>
          <w:rFonts w:ascii="楷体" w:hAnsi="楷体" w:eastAsia="楷体" w:cs="楷体"/>
          <w:b/>
          <w:bCs/>
          <w:spacing w:val="13"/>
          <w:sz w:val="32"/>
          <w:szCs w:val="32"/>
        </w:rPr>
      </w:pPr>
      <w:r>
        <w:rPr>
          <w:rFonts w:ascii="楷体" w:hAnsi="楷体" w:eastAsia="楷体" w:cs="楷体"/>
          <w:b/>
          <w:bCs/>
          <w:spacing w:val="13"/>
          <w:sz w:val="32"/>
          <w:szCs w:val="32"/>
        </w:rPr>
        <w:t>绩效指标完成情况分析。</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left="0" w:leftChars="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napToGrid w:val="0"/>
          <w:color w:val="000000"/>
          <w:spacing w:val="2"/>
          <w:kern w:val="0"/>
          <w:sz w:val="32"/>
          <w:szCs w:val="32"/>
          <w:lang w:val="en-US" w:eastAsia="zh-CN" w:bidi="ar-SA"/>
        </w:rPr>
        <w:t>1.</w:t>
      </w:r>
      <w:r>
        <w:rPr>
          <w:rFonts w:hint="eastAsia" w:ascii="仿宋_GB2312" w:hAnsi="仿宋_GB2312" w:eastAsia="仿宋_GB2312" w:cs="仿宋_GB2312"/>
          <w:b w:val="0"/>
          <w:bCs w:val="0"/>
          <w:spacing w:val="2"/>
          <w:sz w:val="32"/>
          <w:szCs w:val="32"/>
          <w:lang w:val="en-US" w:eastAsia="zh-CN"/>
        </w:rPr>
        <w:t>数量指标</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spacing w:line="560" w:lineRule="exact"/>
        <w:ind w:left="0" w:leftChars="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（1）登记康复对象接受规范精康服务人次目标值75人，实际完成180人。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（2）支持精神障碍社区康复服务旗县数量目标值5个，实际完成9个旗县区。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（3）公益性公墓目标值88000，实际未完成，公益性公墓还未施工，预计2024年开工建设。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（4）绿化面积目标值154，实际未完成，公益性公墓还未施工，预计2024年开工建设。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（5）道路硬化面积目标值98.8，实际未完成，公益性公墓还未施工，预计2024年开工建设。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（6）支持儿童福利服务机构数量目标值1个，实际完成1个。</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（7）助学儿童数量目标值1人，实际完成1人。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（8）支持儿童福利服务机构数量目标值1个，实际完成1个。</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（9）服务儿童数量目标值≥120人，实际完成130人。</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2.质量指标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（1）适合接受社区服务的精神障碍患者人数服务率达目标值90%，实际完成90%。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（2）项目验收合格率目标值100%，实际未完成，项目正在进行中。</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（3）工程质量验收合格率目标值95%，实际未完成，公益性公墓还未施工，预计2024年开工建设。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（4）绿化面积覆盖率目标值95%，实际未完成，公益性公墓还未施工，预计2024年开工建设。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（5）配套工程验收合格率目标值95%，实际未完成，公益性公墓还未施工，预计2024年开工建设。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（6）助学儿童生活质量提高率目标值≥90%，实际完成90%。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（7）助学儿童学习质量提高率目标值≥90%，实际完成90%。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（8）儿童福利机构服务能力提升率目标值≥90%，实际完成90%。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（9）改善儿童生活环境目标值显著，实际完成显著。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3.时效指标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（1）精神障碍社区康复服务期限目标值2024年全年，实际完成全年。</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（2）精神障碍社区康复服务及时率目标值90%，实际完成90%。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（3）工程建设期目标值3期，实际未完成，公益性公墓还未施工，预计2024年开工建设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（4）初步设计编制完成及时率目标值100%，实际未完成，公益性公墓还未施工，预计2024年开工建设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（5）助学周期目标值2年，实际完成2年。</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default"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（6）发放及时率目标值≥90%，实际完成100%。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（7）项目完成周期目标值24个月，实际完成17个月（福彩金项目使用期限2年，已结转至2024年度继续使用）。</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（8）项目建设完成及时率目标值≥90%，实际完成90%。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4.成本指标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（1）精神障碍社区康复服务项目总成本目标值157，实际完成未完成，项目正在进行中。</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（2）公益性公墓建设前期支出率目标值96%，实际未完成，公益性公墓还未施工，预计2024年开工建设。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（3）公益性公墓建设前期费用目标值96%，实际未完成，公益性公墓还未施工，预计2024年开工建设。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（4）孤儿助学项目总成本目标值2万，实际完成2万。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（5）孤儿助学人均成本目标值2万，实际完成2万。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（6）项目总成本目标值≤34万，实际完成25.59万元。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（7）儿童福利机构建设更新成本目标值≤34万，实际完成25.59万元。</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5.经济效益指标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（1）促进殡葬业务收入目标值促进，实际未完成，公益性公墓还未施工，预计2024年开工建设。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6.社会效益指标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（1）开展精神障碍社区康复服务，通过康复活动重拾自我、回归家庭、回归社会。目标值有效保障，实际完成效果明显。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（2）推动丧葬理念转变目标值显著，实际未完成，公益性公墓还未施工，预计2024年开工建设。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（3）有效保证助学儿童基本生活学习目标值显著，实际完成显著。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（4）提升儿童福利机构服务能力目标值显著，实际完成显著。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7.生态效益指标</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（1）减少对生态环境的破坏目标值有所减少，实际未完成，公益性公墓还未施工，预计2024年开工建设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8.可持续影响</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（1）促进残疾人事业发展目标值有效促进，实际完成有效促进。</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（2）公益性公墓长效管理机制健全性目标值健全，实际未完成，公益性公墓还未施工，预计2024年开工建设。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（3）助学儿童基本生活学习持续提高目标值显著，实际完成显著。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（4）提升儿童福利机构服务水平目标值显著，实际完成显著。</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9.服务对象满意度</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（1）精神障碍患者家属满意度目标值≥90%，实际完成90%。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（2）群众满意度目标值≥90%，实际未完成，公益性公墓还未施工，预计2024年开工建设。</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（3）受益对象满意度目标值≥90%，实际完成100%。</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（4）受助孤儿满意度目标值≥90%，实际完成90%。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三、偏离绩效目标的原因和下一步改进措施</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精神障碍社区康复正在按合同执行中，资金将按合同约定支付。公益性公墓还未施工，预计2024年开工建设。儿童福利院孤儿助学资金已按时发放完成。儿童福利机构建设更新正在执行中。以上未完成支付的项目已经按规定结转，预计本年内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四、绩效自评结果拟应用和公开情况</w:t>
      </w:r>
    </w:p>
    <w:p>
      <w:pPr>
        <w:widowControl w:val="0"/>
        <w:kinsoku/>
        <w:autoSpaceDE/>
        <w:autoSpaceDN/>
        <w:adjustRightInd/>
        <w:snapToGrid/>
        <w:spacing w:line="560" w:lineRule="exact"/>
        <w:ind w:firstLine="640" w:firstLineChars="200"/>
        <w:jc w:val="both"/>
        <w:textAlignment w:val="auto"/>
        <w:rPr>
          <w:rFonts w:ascii="黑体" w:hAnsi="黑体" w:eastAsia="黑体" w:cs="黑体"/>
          <w:b/>
          <w:bCs/>
          <w:spacing w:val="2"/>
          <w:sz w:val="32"/>
          <w:szCs w:val="32"/>
        </w:rPr>
      </w:pPr>
      <w:r>
        <w:rPr>
          <w:rFonts w:hint="eastAsia" w:ascii="仿宋" w:hAnsi="仿宋" w:eastAsia="仿宋" w:cstheme="minorBidi"/>
          <w:snapToGrid/>
          <w:kern w:val="2"/>
          <w:sz w:val="32"/>
          <w:szCs w:val="32"/>
          <w:lang w:val="en-US" w:eastAsia="zh-CN"/>
        </w:rPr>
        <w:t>绩效自评结果在呼和浩特市民政局官网公开。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五、其他需要说明的问题</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巡视、审计和财会监督中发现的问题及其所涉及的金额：无。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40" w:leftChars="400"/>
        <w:textAlignment w:val="baseline"/>
        <w:outlineLvl w:val="0"/>
        <w:rPr>
          <w:rFonts w:ascii="黑体" w:hAnsi="黑体" w:eastAsia="黑体" w:cs="黑体"/>
          <w:b/>
          <w:bCs/>
          <w:spacing w:val="2"/>
          <w:sz w:val="32"/>
          <w:szCs w:val="32"/>
        </w:rPr>
      </w:pPr>
      <w:r>
        <w:rPr>
          <w:rFonts w:ascii="黑体" w:hAnsi="黑体" w:eastAsia="黑体" w:cs="黑体"/>
          <w:b/>
          <w:bCs/>
          <w:spacing w:val="2"/>
          <w:sz w:val="32"/>
          <w:szCs w:val="32"/>
        </w:rPr>
        <w:t>六、附件</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firstLine="648" w:firstLineChars="200"/>
        <w:jc w:val="both"/>
        <w:textAlignment w:val="baseline"/>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转移支付区域(项目)绩效自评表</w:t>
      </w:r>
    </w:p>
    <w:sectPr>
      <w:pgSz w:w="11900" w:h="1682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96861"/>
    <w:multiLevelType w:val="singleLevel"/>
    <w:tmpl w:val="CDB96861"/>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U4ZjM4OWIwZmZiYjVhYjlmMTI1NzI1OGY5NGI1MDYifQ=="/>
  </w:docVars>
  <w:rsids>
    <w:rsidRoot w:val="00000000"/>
    <w:rsid w:val="00197A08"/>
    <w:rsid w:val="01727CE0"/>
    <w:rsid w:val="025A09FE"/>
    <w:rsid w:val="02B43B3F"/>
    <w:rsid w:val="033B50CF"/>
    <w:rsid w:val="05CE06E8"/>
    <w:rsid w:val="0AB87005"/>
    <w:rsid w:val="0AED6796"/>
    <w:rsid w:val="0BE5531E"/>
    <w:rsid w:val="0D51729D"/>
    <w:rsid w:val="0F7D6CDF"/>
    <w:rsid w:val="11F33019"/>
    <w:rsid w:val="12445B3A"/>
    <w:rsid w:val="126B6EF4"/>
    <w:rsid w:val="1559062F"/>
    <w:rsid w:val="182D6FD9"/>
    <w:rsid w:val="1C856F63"/>
    <w:rsid w:val="1CDA07B8"/>
    <w:rsid w:val="1CE974F2"/>
    <w:rsid w:val="1D403BF6"/>
    <w:rsid w:val="1EE536A5"/>
    <w:rsid w:val="20517888"/>
    <w:rsid w:val="20792A9E"/>
    <w:rsid w:val="20A54911"/>
    <w:rsid w:val="228C58EF"/>
    <w:rsid w:val="24883A5F"/>
    <w:rsid w:val="2BC43604"/>
    <w:rsid w:val="2BF11F1F"/>
    <w:rsid w:val="32E32A66"/>
    <w:rsid w:val="33C1230E"/>
    <w:rsid w:val="3585467D"/>
    <w:rsid w:val="35CB37E1"/>
    <w:rsid w:val="35ED6CDF"/>
    <w:rsid w:val="374512A4"/>
    <w:rsid w:val="38C84008"/>
    <w:rsid w:val="38FE4CC2"/>
    <w:rsid w:val="3C795D45"/>
    <w:rsid w:val="3DB8289D"/>
    <w:rsid w:val="3EAB68A5"/>
    <w:rsid w:val="3F75355D"/>
    <w:rsid w:val="3F930432"/>
    <w:rsid w:val="42D9753D"/>
    <w:rsid w:val="4C4268AA"/>
    <w:rsid w:val="4CE30FB8"/>
    <w:rsid w:val="4D3A71AE"/>
    <w:rsid w:val="4D510618"/>
    <w:rsid w:val="4DD80C70"/>
    <w:rsid w:val="4F866650"/>
    <w:rsid w:val="505D1257"/>
    <w:rsid w:val="51E031EB"/>
    <w:rsid w:val="56B82CC8"/>
    <w:rsid w:val="58B12FA0"/>
    <w:rsid w:val="59A67F9F"/>
    <w:rsid w:val="5D140643"/>
    <w:rsid w:val="619332C0"/>
    <w:rsid w:val="638C3D00"/>
    <w:rsid w:val="64542A70"/>
    <w:rsid w:val="668E544C"/>
    <w:rsid w:val="684E58C1"/>
    <w:rsid w:val="68F40F41"/>
    <w:rsid w:val="69473636"/>
    <w:rsid w:val="698D1A79"/>
    <w:rsid w:val="6B437403"/>
    <w:rsid w:val="6C486141"/>
    <w:rsid w:val="6DC748C4"/>
    <w:rsid w:val="6DF76D12"/>
    <w:rsid w:val="6E3336F6"/>
    <w:rsid w:val="712C7728"/>
    <w:rsid w:val="72585BDA"/>
    <w:rsid w:val="79942B61"/>
    <w:rsid w:val="7D983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2616</Words>
  <Characters>2812</Characters>
  <TotalTime>1</TotalTime>
  <ScaleCrop>false</ScaleCrop>
  <LinksUpToDate>false</LinksUpToDate>
  <CharactersWithSpaces>2812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2024-05-29T10:59:00Z</dcterms:created>
  <dc:creator>lx</dc:creator>
  <cp:lastModifiedBy>XIAO LE</cp:lastModifiedBy>
  <dcterms:modified xsi:type="dcterms:W3CDTF">2024-06-26T07:35:54Z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2024-05-29T10:59:31Z</vt:filetime>
  </property>
  <property fmtid="{D5CDD505-2E9C-101B-9397-08002B2CF9AE}" pid="4" name="UsrData">
    <vt:lpwstr>66569a0fcc671d001fe57a5bwl</vt:lpwstr>
  </property>
  <property fmtid="{D5CDD505-2E9C-101B-9397-08002B2CF9AE}" pid="5" name="KSOProductBuildVer">
    <vt:lpwstr>2052-12.1.0.16929</vt:lpwstr>
  </property>
  <property fmtid="{D5CDD505-2E9C-101B-9397-08002B2CF9AE}" pid="6" name="ICV">
    <vt:lpwstr>D0020A98663B41688B8112B403AF8EEA_13</vt:lpwstr>
  </property>
</Properties>
</file>