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1AE721">
      <w:pPr>
        <w:keepNext w:val="0"/>
        <w:keepLines w:val="0"/>
        <w:pageBreakBefore w:val="0"/>
        <w:widowControl w:val="0"/>
        <w:kinsoku/>
        <w:wordWrap/>
        <w:overflowPunct/>
        <w:topLinePunct w:val="0"/>
        <w:autoSpaceDE/>
        <w:autoSpaceDN/>
        <w:bidi w:val="0"/>
        <w:adjustRightInd/>
        <w:snapToGrid/>
        <w:spacing w:line="580" w:lineRule="exact"/>
        <w:ind w:firstLine="723" w:firstLineChars="200"/>
        <w:textAlignment w:val="auto"/>
        <w:rPr>
          <w:rFonts w:hint="eastAsia" w:ascii="黑体" w:hAnsi="黑体" w:eastAsia="黑体" w:cs="黑体"/>
          <w:b/>
          <w:bCs/>
          <w:sz w:val="36"/>
          <w:szCs w:val="36"/>
        </w:rPr>
      </w:pPr>
    </w:p>
    <w:p w14:paraId="0EC524DB">
      <w:pPr>
        <w:keepNext w:val="0"/>
        <w:keepLines w:val="0"/>
        <w:pageBreakBefore w:val="0"/>
        <w:widowControl w:val="0"/>
        <w:kinsoku/>
        <w:wordWrap/>
        <w:overflowPunct/>
        <w:topLinePunct w:val="0"/>
        <w:autoSpaceDE/>
        <w:autoSpaceDN/>
        <w:bidi w:val="0"/>
        <w:adjustRightInd/>
        <w:snapToGrid/>
        <w:spacing w:line="580" w:lineRule="exact"/>
        <w:ind w:firstLine="723" w:firstLineChars="200"/>
        <w:textAlignment w:val="auto"/>
        <w:rPr>
          <w:rFonts w:hint="eastAsia" w:ascii="黑体" w:hAnsi="黑体" w:eastAsia="黑体" w:cs="黑体"/>
          <w:b/>
          <w:bCs/>
          <w:sz w:val="36"/>
          <w:szCs w:val="36"/>
        </w:rPr>
      </w:pPr>
    </w:p>
    <w:p w14:paraId="2698DC12">
      <w:pPr>
        <w:keepNext w:val="0"/>
        <w:keepLines w:val="0"/>
        <w:pageBreakBefore w:val="0"/>
        <w:widowControl w:val="0"/>
        <w:kinsoku/>
        <w:wordWrap/>
        <w:overflowPunct/>
        <w:topLinePunct w:val="0"/>
        <w:autoSpaceDE/>
        <w:autoSpaceDN/>
        <w:bidi w:val="0"/>
        <w:adjustRightInd/>
        <w:snapToGrid/>
        <w:spacing w:line="580" w:lineRule="exact"/>
        <w:ind w:firstLine="723" w:firstLineChars="200"/>
        <w:textAlignment w:val="auto"/>
        <w:rPr>
          <w:rFonts w:hint="eastAsia" w:ascii="黑体" w:hAnsi="黑体" w:eastAsia="黑体" w:cs="黑体"/>
          <w:b/>
          <w:bCs/>
          <w:sz w:val="36"/>
          <w:szCs w:val="36"/>
        </w:rPr>
      </w:pPr>
    </w:p>
    <w:p w14:paraId="1A335905">
      <w:pPr>
        <w:keepNext w:val="0"/>
        <w:keepLines w:val="0"/>
        <w:pageBreakBefore w:val="0"/>
        <w:widowControl w:val="0"/>
        <w:kinsoku/>
        <w:wordWrap/>
        <w:overflowPunct/>
        <w:topLinePunct w:val="0"/>
        <w:autoSpaceDE/>
        <w:autoSpaceDN/>
        <w:bidi w:val="0"/>
        <w:adjustRightInd/>
        <w:snapToGrid/>
        <w:spacing w:line="580" w:lineRule="exact"/>
        <w:ind w:firstLine="723" w:firstLineChars="200"/>
        <w:textAlignment w:val="auto"/>
        <w:rPr>
          <w:rFonts w:hint="eastAsia" w:ascii="黑体" w:hAnsi="黑体" w:eastAsia="黑体" w:cs="黑体"/>
          <w:b/>
          <w:bCs/>
          <w:sz w:val="36"/>
          <w:szCs w:val="36"/>
        </w:rPr>
      </w:pPr>
    </w:p>
    <w:p w14:paraId="4812317B">
      <w:pPr>
        <w:keepNext w:val="0"/>
        <w:keepLines w:val="0"/>
        <w:pageBreakBefore w:val="0"/>
        <w:widowControl w:val="0"/>
        <w:kinsoku/>
        <w:wordWrap/>
        <w:overflowPunct/>
        <w:topLinePunct w:val="0"/>
        <w:autoSpaceDE/>
        <w:autoSpaceDN/>
        <w:bidi w:val="0"/>
        <w:adjustRightInd/>
        <w:snapToGrid/>
        <w:spacing w:line="580" w:lineRule="exact"/>
        <w:ind w:firstLine="723" w:firstLineChars="200"/>
        <w:textAlignment w:val="auto"/>
        <w:rPr>
          <w:rFonts w:hint="eastAsia" w:ascii="黑体" w:hAnsi="黑体" w:eastAsia="黑体" w:cs="黑体"/>
          <w:b/>
          <w:bCs/>
          <w:sz w:val="36"/>
          <w:szCs w:val="36"/>
        </w:rPr>
      </w:pPr>
      <w:r>
        <w:rPr>
          <w:rFonts w:hint="eastAsia" w:ascii="黑体" w:hAnsi="黑体" w:eastAsia="黑体" w:cs="黑体"/>
          <w:b/>
          <w:bCs/>
          <w:sz w:val="36"/>
          <w:szCs w:val="36"/>
        </w:rPr>
        <w:t>202</w:t>
      </w:r>
      <w:r>
        <w:rPr>
          <w:rFonts w:hint="eastAsia" w:ascii="黑体" w:hAnsi="黑体" w:eastAsia="黑体" w:cs="黑体"/>
          <w:b/>
          <w:bCs/>
          <w:sz w:val="36"/>
          <w:szCs w:val="36"/>
          <w:lang w:val="en-US" w:eastAsia="zh-CN"/>
        </w:rPr>
        <w:t>3</w:t>
      </w:r>
      <w:r>
        <w:rPr>
          <w:rFonts w:hint="eastAsia" w:ascii="黑体" w:hAnsi="黑体" w:eastAsia="黑体" w:cs="黑体"/>
          <w:b/>
          <w:bCs/>
          <w:sz w:val="36"/>
          <w:szCs w:val="36"/>
        </w:rPr>
        <w:t>年度呼和浩特市民政局综合保障中心</w:t>
      </w:r>
    </w:p>
    <w:p w14:paraId="60537B91">
      <w:pPr>
        <w:keepNext w:val="0"/>
        <w:keepLines w:val="0"/>
        <w:pageBreakBefore w:val="0"/>
        <w:widowControl w:val="0"/>
        <w:kinsoku/>
        <w:wordWrap/>
        <w:overflowPunct/>
        <w:topLinePunct w:val="0"/>
        <w:autoSpaceDE/>
        <w:autoSpaceDN/>
        <w:bidi w:val="0"/>
        <w:adjustRightInd/>
        <w:snapToGrid/>
        <w:spacing w:line="580" w:lineRule="exact"/>
        <w:ind w:firstLine="723" w:firstLineChars="200"/>
        <w:jc w:val="center"/>
        <w:textAlignment w:val="auto"/>
        <w:rPr>
          <w:rFonts w:hint="eastAsia" w:ascii="黑体" w:hAnsi="黑体" w:eastAsia="黑体" w:cs="黑体"/>
          <w:b/>
          <w:bCs/>
          <w:sz w:val="36"/>
          <w:szCs w:val="36"/>
        </w:rPr>
      </w:pPr>
      <w:r>
        <w:rPr>
          <w:rFonts w:hint="eastAsia" w:ascii="黑体" w:hAnsi="黑体" w:eastAsia="黑体" w:cs="黑体"/>
          <w:b/>
          <w:bCs/>
          <w:sz w:val="36"/>
          <w:szCs w:val="36"/>
        </w:rPr>
        <w:t>单位决算公开</w:t>
      </w:r>
    </w:p>
    <w:p w14:paraId="36611F4D">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黑体" w:hAnsi="黑体" w:eastAsia="黑体" w:cs="黑体"/>
          <w:b/>
          <w:bCs/>
          <w:sz w:val="32"/>
          <w:szCs w:val="32"/>
        </w:rPr>
      </w:pPr>
    </w:p>
    <w:p w14:paraId="4044452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p>
    <w:p w14:paraId="296232D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p>
    <w:p w14:paraId="128367F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p>
    <w:p w14:paraId="164D07FC">
      <w:pPr>
        <w:keepNext w:val="0"/>
        <w:keepLines w:val="0"/>
        <w:pageBreakBefore w:val="0"/>
        <w:widowControl w:val="0"/>
        <w:kinsoku/>
        <w:wordWrap/>
        <w:overflowPunct/>
        <w:topLinePunct w:val="0"/>
        <w:autoSpaceDE/>
        <w:autoSpaceDN/>
        <w:bidi w:val="0"/>
        <w:adjustRightInd/>
        <w:snapToGrid/>
        <w:spacing w:line="580" w:lineRule="exact"/>
        <w:ind w:firstLine="880" w:firstLineChars="200"/>
        <w:textAlignment w:val="auto"/>
        <w:rPr>
          <w:rFonts w:hint="eastAsia" w:ascii="仿宋" w:hAnsi="仿宋" w:eastAsia="仿宋" w:cs="仿宋"/>
          <w:sz w:val="44"/>
          <w:szCs w:val="44"/>
        </w:rPr>
      </w:pPr>
    </w:p>
    <w:p w14:paraId="3D6044A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p>
    <w:p w14:paraId="135CDA5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p>
    <w:p w14:paraId="36246C9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p>
    <w:p w14:paraId="07BD807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p>
    <w:p w14:paraId="75087DE9">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center"/>
        <w:textAlignment w:val="auto"/>
        <w:rPr>
          <w:rFonts w:hint="eastAsia" w:ascii="仿宋" w:hAnsi="仿宋" w:eastAsia="仿宋" w:cs="仿宋"/>
          <w:sz w:val="32"/>
          <w:szCs w:val="32"/>
        </w:rPr>
      </w:pPr>
    </w:p>
    <w:p w14:paraId="07DDBB4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p>
    <w:p w14:paraId="70FBF70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p>
    <w:p w14:paraId="4394358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p>
    <w:p w14:paraId="4D0EA5A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p>
    <w:p w14:paraId="203E1FF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p>
    <w:p w14:paraId="7A8A755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p>
    <w:p w14:paraId="25BFE232">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 w:hAnsi="仿宋" w:eastAsia="仿宋" w:cs="仿宋"/>
          <w:sz w:val="32"/>
          <w:szCs w:val="32"/>
        </w:rPr>
      </w:pPr>
    </w:p>
    <w:p w14:paraId="6D83018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p>
    <w:p w14:paraId="48748942">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黑体" w:hAnsi="黑体" w:eastAsia="黑体" w:cs="黑体"/>
          <w:sz w:val="44"/>
          <w:szCs w:val="44"/>
        </w:rPr>
      </w:pPr>
      <w:r>
        <w:rPr>
          <w:rFonts w:hint="eastAsia" w:ascii="黑体" w:hAnsi="黑体" w:eastAsia="黑体" w:cs="黑体"/>
          <w:sz w:val="44"/>
          <w:szCs w:val="44"/>
        </w:rPr>
        <w:t>目 录</w:t>
      </w:r>
    </w:p>
    <w:p w14:paraId="122D6F2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第一部分 部门（单位）概况</w:t>
      </w:r>
    </w:p>
    <w:p w14:paraId="434ED73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一、主要职能、职责</w:t>
      </w:r>
    </w:p>
    <w:p w14:paraId="431A3FE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二、部门（单位）机构设置及决算单位构成情况</w:t>
      </w:r>
    </w:p>
    <w:p w14:paraId="0DA11CD6">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三、2023年度部门（单位）主要工作完成情况</w:t>
      </w:r>
    </w:p>
    <w:p w14:paraId="1754CAF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第二部分 部门（单位）决算情况说明</w:t>
      </w:r>
    </w:p>
    <w:p w14:paraId="3C641CC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一、收入支出决算总体情况说明</w:t>
      </w:r>
    </w:p>
    <w:p w14:paraId="13A52F9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二、收入决算情况说明</w:t>
      </w:r>
    </w:p>
    <w:p w14:paraId="2B3EAFE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三、支出决算情况说明</w:t>
      </w:r>
    </w:p>
    <w:p w14:paraId="3D5D27F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四、财政拨款收入支出决算总体情况说明</w:t>
      </w:r>
    </w:p>
    <w:p w14:paraId="3810C11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五、一般公共预算财政拨款支出决算情况说明</w:t>
      </w:r>
    </w:p>
    <w:p w14:paraId="5684978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六、一般公共预算财政拨款基本支出决算情况说明</w:t>
      </w:r>
    </w:p>
    <w:p w14:paraId="0BFE95E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七、一般公共预算财政拨款项目支出决算情况说明</w:t>
      </w:r>
    </w:p>
    <w:p w14:paraId="0C22174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八、财政拨款“三公”经费支出决算情况说明</w:t>
      </w:r>
    </w:p>
    <w:p w14:paraId="4E2C178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九、政府性基金预算财政拨款支出决算情况说明</w:t>
      </w:r>
    </w:p>
    <w:p w14:paraId="0D3143B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十、国有资本经营预算财政拨款支出决算情况说明</w:t>
      </w:r>
    </w:p>
    <w:p w14:paraId="4CC3C7E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十一、机构运行经费支出决算情况说明</w:t>
      </w:r>
    </w:p>
    <w:p w14:paraId="38DE1E5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十二、政府采购支出决算情况说明</w:t>
      </w:r>
    </w:p>
    <w:p w14:paraId="0C173DC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十三、国有资产占用情况说明</w:t>
      </w:r>
    </w:p>
    <w:p w14:paraId="1FDD3A7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十四、预算绩效情况说明</w:t>
      </w:r>
    </w:p>
    <w:p w14:paraId="1F79993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第三部分 名词解释</w:t>
      </w:r>
    </w:p>
    <w:p w14:paraId="510DA31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第四部分 决算公开联系方式及信息反馈渠道</w:t>
      </w:r>
    </w:p>
    <w:p w14:paraId="751D24F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第五部分 部门（单位）决算表</w:t>
      </w:r>
    </w:p>
    <w:p w14:paraId="0D23EA2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一、收入支出决算总表</w:t>
      </w:r>
    </w:p>
    <w:p w14:paraId="3B176C2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二、收入决算表</w:t>
      </w:r>
    </w:p>
    <w:p w14:paraId="5F846FC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三、支出决算表</w:t>
      </w:r>
    </w:p>
    <w:p w14:paraId="40BF5EA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四、财政拨款收入支出决算总表</w:t>
      </w:r>
    </w:p>
    <w:p w14:paraId="677132E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五、项目收入支出决算表</w:t>
      </w:r>
    </w:p>
    <w:p w14:paraId="6ED7A91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六</w:t>
      </w:r>
      <w:r>
        <w:rPr>
          <w:rFonts w:hint="eastAsia" w:ascii="仿宋" w:hAnsi="仿宋" w:eastAsia="仿宋" w:cs="仿宋"/>
          <w:sz w:val="32"/>
          <w:szCs w:val="32"/>
        </w:rPr>
        <w:t>、一般公共预算财政拨款支出决算表</w:t>
      </w:r>
    </w:p>
    <w:p w14:paraId="478F831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七</w:t>
      </w:r>
      <w:r>
        <w:rPr>
          <w:rFonts w:hint="eastAsia" w:ascii="仿宋" w:hAnsi="仿宋" w:eastAsia="仿宋" w:cs="仿宋"/>
          <w:sz w:val="32"/>
          <w:szCs w:val="32"/>
        </w:rPr>
        <w:t>、一般公共预算财政拨款基本支出决算明细表</w:t>
      </w:r>
    </w:p>
    <w:p w14:paraId="6D02FF66">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八</w:t>
      </w:r>
      <w:r>
        <w:rPr>
          <w:rFonts w:hint="eastAsia" w:ascii="仿宋" w:hAnsi="仿宋" w:eastAsia="仿宋" w:cs="仿宋"/>
          <w:sz w:val="32"/>
          <w:szCs w:val="32"/>
        </w:rPr>
        <w:t>、一般公共预算财政拨款项目支出决算明细表</w:t>
      </w:r>
    </w:p>
    <w:p w14:paraId="77B87C1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九</w:t>
      </w:r>
      <w:r>
        <w:rPr>
          <w:rFonts w:hint="eastAsia" w:ascii="仿宋" w:hAnsi="仿宋" w:eastAsia="仿宋" w:cs="仿宋"/>
          <w:sz w:val="32"/>
          <w:szCs w:val="32"/>
        </w:rPr>
        <w:t>、政府性基金预算财政拨款收入支出决算表</w:t>
      </w:r>
    </w:p>
    <w:p w14:paraId="0380506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十</w:t>
      </w:r>
      <w:r>
        <w:rPr>
          <w:rFonts w:hint="eastAsia" w:ascii="仿宋" w:hAnsi="仿宋" w:eastAsia="仿宋" w:cs="仿宋"/>
          <w:sz w:val="32"/>
          <w:szCs w:val="32"/>
        </w:rPr>
        <w:t>、国有资本经营预算财政拨款支出决算表</w:t>
      </w:r>
    </w:p>
    <w:p w14:paraId="1AB523C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w:t>
      </w:r>
      <w:r>
        <w:rPr>
          <w:rFonts w:hint="eastAsia" w:ascii="仿宋" w:hAnsi="仿宋" w:eastAsia="仿宋" w:cs="仿宋"/>
          <w:sz w:val="32"/>
          <w:szCs w:val="32"/>
          <w:lang w:val="en-US" w:eastAsia="zh-CN"/>
        </w:rPr>
        <w:t>一</w:t>
      </w:r>
      <w:r>
        <w:rPr>
          <w:rFonts w:hint="eastAsia" w:ascii="仿宋" w:hAnsi="仿宋" w:eastAsia="仿宋" w:cs="仿宋"/>
          <w:sz w:val="32"/>
          <w:szCs w:val="32"/>
        </w:rPr>
        <w:t>、财政拨款“三公”经费支出决算表</w:t>
      </w:r>
    </w:p>
    <w:p w14:paraId="5DB60D1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w:t>
      </w:r>
      <w:r>
        <w:rPr>
          <w:rFonts w:hint="eastAsia" w:ascii="仿宋" w:hAnsi="仿宋" w:eastAsia="仿宋" w:cs="仿宋"/>
          <w:sz w:val="32"/>
          <w:szCs w:val="32"/>
          <w:lang w:val="en-US" w:eastAsia="zh-CN"/>
        </w:rPr>
        <w:t>二</w:t>
      </w:r>
      <w:r>
        <w:rPr>
          <w:rFonts w:hint="eastAsia" w:ascii="仿宋" w:hAnsi="仿宋" w:eastAsia="仿宋" w:cs="仿宋"/>
          <w:sz w:val="32"/>
          <w:szCs w:val="32"/>
        </w:rPr>
        <w:t>、机构运行经费支出、国有资产占用情况及政府采购支出信息表</w:t>
      </w:r>
    </w:p>
    <w:p w14:paraId="401A99A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p>
    <w:p w14:paraId="666BD41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p>
    <w:p w14:paraId="7DDD99F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p>
    <w:p w14:paraId="45E4400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p>
    <w:p w14:paraId="4BD6F7D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p>
    <w:p w14:paraId="04BBCF9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p>
    <w:p w14:paraId="7560C09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p>
    <w:p w14:paraId="208D4C3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p>
    <w:p w14:paraId="6DD53A8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p>
    <w:p w14:paraId="33A77CF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p>
    <w:p w14:paraId="700F0F1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p>
    <w:p w14:paraId="5721E7E8">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eastAsia" w:asciiTheme="majorEastAsia" w:hAnsiTheme="majorEastAsia" w:eastAsiaTheme="majorEastAsia" w:cstheme="majorEastAsia"/>
          <w:b/>
          <w:bCs/>
          <w:sz w:val="44"/>
          <w:szCs w:val="44"/>
        </w:rPr>
      </w:pPr>
    </w:p>
    <w:p w14:paraId="21031EDA">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第一部分 单位概况</w:t>
      </w:r>
    </w:p>
    <w:p w14:paraId="12C08C16">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一、主要职能、职责</w:t>
      </w:r>
    </w:p>
    <w:p w14:paraId="7E8DBF1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呼和浩特市民政局综合保障中心是呼和浩特市民政局局属单位，为参照公务员管理单位，单位职能是贯彻落实党中央关于民政工作的方针政策和自治区党委、市委相关决策部署，在履行职责过程中坚持和加强党对民政工作的集中统一领导。1.承担局机关日常运转的后勤服务保障工作</w:t>
      </w:r>
      <w:r>
        <w:rPr>
          <w:rFonts w:hint="eastAsia" w:ascii="仿宋" w:hAnsi="仿宋" w:eastAsia="仿宋" w:cs="仿宋"/>
          <w:sz w:val="32"/>
          <w:szCs w:val="32"/>
          <w:lang w:eastAsia="zh-CN"/>
        </w:rPr>
        <w:t>，</w:t>
      </w:r>
      <w:r>
        <w:rPr>
          <w:rFonts w:hint="eastAsia" w:ascii="仿宋" w:hAnsi="仿宋" w:eastAsia="仿宋" w:cs="仿宋"/>
          <w:sz w:val="32"/>
          <w:szCs w:val="32"/>
        </w:rPr>
        <w:t>承担社会救助政策制定、发展规划研究、救助政策咨询、救助资金管理的辅助工作；2.承担社会救助信息系统的数据维护、分析、监测等工作；3.承担低收入家庭经济状况查询、核对工作；4.协助机关处理局属转制福利企业的职工保障工作；5.承担殡葬服务和殡葬管理信息系统的使用工作</w:t>
      </w:r>
      <w:r>
        <w:rPr>
          <w:rFonts w:hint="eastAsia" w:ascii="仿宋" w:hAnsi="仿宋" w:eastAsia="仿宋" w:cs="仿宋"/>
          <w:sz w:val="32"/>
          <w:szCs w:val="32"/>
          <w:lang w:eastAsia="zh-CN"/>
        </w:rPr>
        <w:t>。</w:t>
      </w:r>
    </w:p>
    <w:p w14:paraId="4D2313E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二、单位机构设置及决算单位构成情况</w:t>
      </w:r>
    </w:p>
    <w:p w14:paraId="0379097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1.根据单位职责分工，本单位没有设置内设机构。本单位无下属单位。人员基本情况：核定编制为16人，实有12人，由养老保险基金发放养老金的退休人员7人。</w:t>
      </w:r>
    </w:p>
    <w:p w14:paraId="28973D8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2.从决算单位构成看，纳入本部门2023年部门汇总决算编制范围的预算单位共计1家，具体情况见表：1.根据单位职责分工，本单位没有设置内设机构。本单位无下属单位。人员基本情况：核定编制为16人，实有1</w:t>
      </w:r>
      <w:r>
        <w:rPr>
          <w:rFonts w:hint="eastAsia" w:ascii="仿宋" w:hAnsi="仿宋" w:eastAsia="仿宋" w:cs="仿宋"/>
          <w:sz w:val="32"/>
          <w:szCs w:val="32"/>
          <w:lang w:val="en-US" w:eastAsia="zh-CN"/>
        </w:rPr>
        <w:t>2</w:t>
      </w:r>
      <w:r>
        <w:rPr>
          <w:rFonts w:hint="eastAsia" w:ascii="仿宋" w:hAnsi="仿宋" w:eastAsia="仿宋" w:cs="仿宋"/>
          <w:sz w:val="32"/>
          <w:szCs w:val="32"/>
        </w:rPr>
        <w:t>人，由养老保险基金发放养老金的退休人员</w:t>
      </w:r>
      <w:r>
        <w:rPr>
          <w:rFonts w:hint="eastAsia" w:ascii="仿宋" w:hAnsi="仿宋" w:eastAsia="仿宋" w:cs="仿宋"/>
          <w:sz w:val="32"/>
          <w:szCs w:val="32"/>
          <w:lang w:val="en-US" w:eastAsia="zh-CN"/>
        </w:rPr>
        <w:t>7</w:t>
      </w:r>
      <w:r>
        <w:rPr>
          <w:rFonts w:hint="eastAsia" w:ascii="仿宋" w:hAnsi="仿宋" w:eastAsia="仿宋" w:cs="仿宋"/>
          <w:sz w:val="32"/>
          <w:szCs w:val="32"/>
        </w:rPr>
        <w:t>人。</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3887"/>
        <w:gridCol w:w="3855"/>
      </w:tblGrid>
      <w:tr w14:paraId="33522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0" w:type="dxa"/>
          </w:tcPr>
          <w:p w14:paraId="3E43EECF">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 w:hAnsi="仿宋" w:eastAsia="仿宋" w:cs="仿宋"/>
                <w:sz w:val="28"/>
                <w:szCs w:val="28"/>
                <w:vertAlign w:val="baseline"/>
              </w:rPr>
            </w:pPr>
            <w:r>
              <w:rPr>
                <w:rFonts w:hint="eastAsia" w:ascii="仿宋" w:hAnsi="仿宋" w:eastAsia="仿宋" w:cs="仿宋"/>
                <w:sz w:val="28"/>
                <w:szCs w:val="28"/>
              </w:rPr>
              <w:t>序号</w:t>
            </w:r>
          </w:p>
        </w:tc>
        <w:tc>
          <w:tcPr>
            <w:tcW w:w="3887" w:type="dxa"/>
          </w:tcPr>
          <w:p w14:paraId="3DBC7EFD">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center"/>
              <w:textAlignment w:val="auto"/>
              <w:rPr>
                <w:rFonts w:hint="eastAsia" w:ascii="仿宋" w:hAnsi="仿宋" w:eastAsia="仿宋" w:cs="仿宋"/>
                <w:sz w:val="28"/>
                <w:szCs w:val="28"/>
                <w:vertAlign w:val="baseline"/>
              </w:rPr>
            </w:pPr>
            <w:r>
              <w:rPr>
                <w:rFonts w:hint="eastAsia" w:ascii="仿宋" w:hAnsi="仿宋" w:eastAsia="仿宋" w:cs="仿宋"/>
                <w:sz w:val="28"/>
                <w:szCs w:val="28"/>
              </w:rPr>
              <w:t>单位名称</w:t>
            </w:r>
          </w:p>
        </w:tc>
        <w:tc>
          <w:tcPr>
            <w:tcW w:w="3855" w:type="dxa"/>
          </w:tcPr>
          <w:p w14:paraId="60A5B88F">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vertAlign w:val="baseline"/>
              </w:rPr>
            </w:pPr>
            <w:r>
              <w:rPr>
                <w:rFonts w:hint="eastAsia" w:ascii="仿宋" w:hAnsi="仿宋" w:eastAsia="仿宋" w:cs="仿宋"/>
                <w:sz w:val="28"/>
                <w:szCs w:val="28"/>
              </w:rPr>
              <w:t>单位性质</w:t>
            </w:r>
          </w:p>
        </w:tc>
      </w:tr>
      <w:tr w14:paraId="5499D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trPr>
        <w:tc>
          <w:tcPr>
            <w:tcW w:w="780" w:type="dxa"/>
          </w:tcPr>
          <w:p w14:paraId="7FEEF029">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1</w:t>
            </w:r>
          </w:p>
        </w:tc>
        <w:tc>
          <w:tcPr>
            <w:tcW w:w="3887" w:type="dxa"/>
          </w:tcPr>
          <w:p w14:paraId="6293A07B">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 w:hAnsi="仿宋" w:eastAsia="仿宋" w:cs="仿宋"/>
                <w:sz w:val="28"/>
                <w:szCs w:val="28"/>
              </w:rPr>
            </w:pPr>
            <w:r>
              <w:rPr>
                <w:rFonts w:hint="eastAsia" w:ascii="仿宋" w:hAnsi="仿宋" w:eastAsia="仿宋" w:cs="仿宋"/>
                <w:sz w:val="24"/>
                <w:szCs w:val="24"/>
              </w:rPr>
              <w:t>呼和浩特市民政局综合保障中心</w:t>
            </w:r>
          </w:p>
        </w:tc>
        <w:tc>
          <w:tcPr>
            <w:tcW w:w="3855" w:type="dxa"/>
          </w:tcPr>
          <w:p w14:paraId="4C107CE9">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参照公务员法管理的事业单位</w:t>
            </w:r>
          </w:p>
          <w:p w14:paraId="53BBDB66">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 w:hAnsi="仿宋" w:eastAsia="仿宋" w:cs="仿宋"/>
                <w:sz w:val="32"/>
                <w:szCs w:val="32"/>
                <w:vertAlign w:val="baseline"/>
              </w:rPr>
            </w:pPr>
          </w:p>
        </w:tc>
      </w:tr>
    </w:tbl>
    <w:p w14:paraId="0209930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  </w:t>
      </w:r>
    </w:p>
    <w:p w14:paraId="66162A2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三、2023年度部门（单位）主要工作完成情况</w:t>
      </w:r>
    </w:p>
    <w:p w14:paraId="4D17B51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1.辅助局社救科做好困难群众资金发放督导工作。在每月的月底督促旗县区将发放清册上报财政局，于下个月的 1 号开始进行资金发放日报，确保了所有旗县区全年都在每月 10 号前将资金发放到位。2.辅助局社救科开展巩固社会救助兜底与乡村振兴有效衔接。深入9个旗县区对重点人群家庭基本情况、家庭收入、家庭支出、家庭财产以及家庭存在医疗、教育、住房、就业、饮水安全等方面的困难需求进行了“全覆盖”式摸底排查。3.辅助局社救科制定完善我市的社救相关政策。4.加强“智慧救助”系统使用。通了社会救助申请的空间壁垒，变“现场办”为“掌上办”。5.做好家庭经济状况信息比对工作。按月调度建档立卡贫困人口纳入低保和救助情况，按季度与乡村振兴局核对建档立卡贫困人口数据，及时将符合条件的人员纳入兜底保障范围。6.加强信息建设管理工作，督促完成了信息上传、核查报告反馈工作。7.保障四家局属改制福利企业职工正常福利待遇、社会保险缴费和及时办理了到龄退休手续等。</w:t>
      </w:r>
    </w:p>
    <w:p w14:paraId="7E306447">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第二部分  单位决算情况说明</w:t>
      </w:r>
    </w:p>
    <w:p w14:paraId="2617EE6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 xml:space="preserve">一、收入支出决算总体情况说明 </w:t>
      </w:r>
    </w:p>
    <w:p w14:paraId="059A174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呼和浩特市民政局综合保障中心 2023年度收入、支出决算总计 804.04万元。与年初预算相比，收、支总计各增加 12.64万元，增长 1.60%，变动原因：一是人员调资；二是其他收入</w:t>
      </w:r>
      <w:r>
        <w:rPr>
          <w:rFonts w:hint="eastAsia" w:ascii="仿宋" w:hAnsi="仿宋" w:eastAsia="仿宋" w:cs="仿宋"/>
          <w:sz w:val="32"/>
          <w:szCs w:val="32"/>
          <w:lang w:eastAsia="zh-CN"/>
        </w:rPr>
        <w:t>：</w:t>
      </w:r>
      <w:r>
        <w:rPr>
          <w:rFonts w:hint="eastAsia" w:ascii="仿宋" w:hAnsi="仿宋" w:eastAsia="仿宋" w:cs="仿宋"/>
          <w:sz w:val="32"/>
          <w:szCs w:val="32"/>
        </w:rPr>
        <w:t>托管人员代收代缴社会保障缴费；与上年决算相比，收、支总计各增加 86.71万元，增长 12.09%。其中：一是人员调资；二是托管人员社会保障缴</w:t>
      </w:r>
      <w:r>
        <w:rPr>
          <w:rFonts w:hint="eastAsia" w:ascii="仿宋" w:hAnsi="仿宋" w:eastAsia="仿宋" w:cs="仿宋"/>
          <w:sz w:val="32"/>
          <w:szCs w:val="32"/>
          <w:lang w:eastAsia="zh-CN"/>
        </w:rPr>
        <w:t>费</w:t>
      </w:r>
      <w:r>
        <w:rPr>
          <w:rFonts w:hint="eastAsia" w:ascii="仿宋" w:hAnsi="仿宋" w:eastAsia="仿宋" w:cs="仿宋"/>
          <w:sz w:val="32"/>
          <w:szCs w:val="32"/>
        </w:rPr>
        <w:t>基数增长；三是托管人员退休医疗安置费比上年增长。</w:t>
      </w:r>
    </w:p>
    <w:p w14:paraId="7A57A06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（一）收入决算总计 804.04万元。包括：</w:t>
      </w:r>
    </w:p>
    <w:p w14:paraId="23C086C0">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1.本年收入决算合计 804.04万元。与上年决算相比，增加 86.71万元，增长 12.09%，变动原因：其中：一是人员调资；二是托管人员社会保障缴</w:t>
      </w:r>
      <w:r>
        <w:rPr>
          <w:rFonts w:hint="eastAsia" w:ascii="仿宋" w:hAnsi="仿宋" w:eastAsia="仿宋" w:cs="仿宋"/>
          <w:sz w:val="32"/>
          <w:szCs w:val="32"/>
          <w:lang w:eastAsia="zh-CN"/>
        </w:rPr>
        <w:t>费</w:t>
      </w:r>
      <w:r>
        <w:rPr>
          <w:rFonts w:hint="eastAsia" w:ascii="仿宋" w:hAnsi="仿宋" w:eastAsia="仿宋" w:cs="仿宋"/>
          <w:sz w:val="32"/>
          <w:szCs w:val="32"/>
        </w:rPr>
        <w:t>基数增长；三是托管人员退休医疗安置费比上年增长。</w:t>
      </w:r>
    </w:p>
    <w:p w14:paraId="51F7F33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2.使用非财政拨款结余和专用结余 0.00万元。与上年决算相比，增加（减少） 0.00万元，增长（减少）</w:t>
      </w:r>
      <w:r>
        <w:rPr>
          <w:rFonts w:hint="eastAsia" w:ascii="仿宋" w:hAnsi="仿宋" w:eastAsia="仿宋" w:cs="仿宋"/>
          <w:sz w:val="32"/>
          <w:szCs w:val="32"/>
          <w:lang w:eastAsia="zh-CN"/>
        </w:rPr>
        <w:t>0</w:t>
      </w:r>
      <w:r>
        <w:rPr>
          <w:rFonts w:hint="eastAsia" w:ascii="仿宋" w:hAnsi="仿宋" w:eastAsia="仿宋" w:cs="仿宋"/>
          <w:sz w:val="32"/>
          <w:szCs w:val="32"/>
        </w:rPr>
        <w:t>%，变动原因</w:t>
      </w:r>
      <w:r>
        <w:rPr>
          <w:rFonts w:hint="eastAsia" w:ascii="仿宋" w:hAnsi="仿宋" w:eastAsia="仿宋" w:cs="仿宋"/>
          <w:sz w:val="32"/>
          <w:szCs w:val="32"/>
          <w:lang w:eastAsia="zh-CN"/>
        </w:rPr>
        <w:t>：</w:t>
      </w:r>
      <w:r>
        <w:rPr>
          <w:rFonts w:hint="eastAsia" w:ascii="仿宋" w:hAnsi="仿宋" w:eastAsia="仿宋" w:cs="仿宋"/>
          <w:sz w:val="32"/>
          <w:szCs w:val="32"/>
        </w:rPr>
        <w:t>不存在此项内容。</w:t>
      </w:r>
    </w:p>
    <w:p w14:paraId="575AF4C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3.年初结转和结余 0.00万元。与上年决算相比，增加（减少） 0.00万元，增长（减少）</w:t>
      </w:r>
      <w:r>
        <w:rPr>
          <w:rFonts w:hint="eastAsia" w:ascii="仿宋" w:hAnsi="仿宋" w:eastAsia="仿宋" w:cs="仿宋"/>
          <w:sz w:val="32"/>
          <w:szCs w:val="32"/>
          <w:lang w:eastAsia="zh-CN"/>
        </w:rPr>
        <w:t>0</w:t>
      </w:r>
      <w:r>
        <w:rPr>
          <w:rFonts w:hint="eastAsia" w:ascii="仿宋" w:hAnsi="仿宋" w:eastAsia="仿宋" w:cs="仿宋"/>
          <w:sz w:val="32"/>
          <w:szCs w:val="32"/>
        </w:rPr>
        <w:t>%，变动原因：不存在此项内容。</w:t>
      </w:r>
    </w:p>
    <w:p w14:paraId="4248C16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（二）支出决算总计 804.04万元。包括：</w:t>
      </w:r>
    </w:p>
    <w:p w14:paraId="50BF2BB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1.本年支出决算合计 804.04万元。与上年决算相比，增加 86.71万元，增长12.09%，变动原因：其中：一是人员调资；二是托管人员社会保障缴基数增长；三是托管人员退休医疗</w:t>
      </w:r>
      <w:r>
        <w:rPr>
          <w:rFonts w:hint="eastAsia" w:ascii="仿宋" w:hAnsi="仿宋" w:eastAsia="仿宋" w:cs="仿宋"/>
          <w:sz w:val="32"/>
          <w:szCs w:val="32"/>
          <w:lang w:eastAsia="zh-CN"/>
        </w:rPr>
        <w:t>一次性</w:t>
      </w:r>
      <w:r>
        <w:rPr>
          <w:rFonts w:hint="eastAsia" w:ascii="仿宋" w:hAnsi="仿宋" w:eastAsia="仿宋" w:cs="仿宋"/>
          <w:sz w:val="32"/>
          <w:szCs w:val="32"/>
        </w:rPr>
        <w:t>安置费比上年增长。</w:t>
      </w:r>
    </w:p>
    <w:p w14:paraId="60C5562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2.结余分配 0.00万元。结余分配事项：</w:t>
      </w:r>
      <w:r>
        <w:rPr>
          <w:rFonts w:hint="eastAsia" w:ascii="仿宋" w:hAnsi="仿宋" w:eastAsia="仿宋" w:cs="仿宋"/>
          <w:sz w:val="32"/>
          <w:szCs w:val="32"/>
          <w:lang w:eastAsia="zh-CN"/>
        </w:rPr>
        <w:t>无。</w:t>
      </w:r>
      <w:r>
        <w:rPr>
          <w:rFonts w:hint="eastAsia" w:ascii="仿宋" w:hAnsi="仿宋" w:eastAsia="仿宋" w:cs="仿宋"/>
          <w:sz w:val="32"/>
          <w:szCs w:val="32"/>
        </w:rPr>
        <w:t>与上年决算相比，增加（减少） 0.00万元，增长（减少）</w:t>
      </w:r>
      <w:r>
        <w:rPr>
          <w:rFonts w:hint="eastAsia" w:ascii="仿宋" w:hAnsi="仿宋" w:eastAsia="仿宋" w:cs="仿宋"/>
          <w:sz w:val="32"/>
          <w:szCs w:val="32"/>
          <w:lang w:eastAsia="zh-CN"/>
        </w:rPr>
        <w:t>0</w:t>
      </w:r>
      <w:r>
        <w:rPr>
          <w:rFonts w:hint="eastAsia" w:ascii="仿宋" w:hAnsi="仿宋" w:eastAsia="仿宋" w:cs="仿宋"/>
          <w:sz w:val="32"/>
          <w:szCs w:val="32"/>
        </w:rPr>
        <w:t>%，变动原因：不存在此项内容。</w:t>
      </w:r>
    </w:p>
    <w:p w14:paraId="3FE7367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.年末结转和结余 0.00万元。结转和结余事项：</w:t>
      </w:r>
      <w:r>
        <w:rPr>
          <w:rFonts w:hint="eastAsia" w:ascii="仿宋" w:hAnsi="仿宋" w:eastAsia="仿宋" w:cs="仿宋"/>
          <w:sz w:val="32"/>
          <w:szCs w:val="32"/>
          <w:lang w:eastAsia="zh-CN"/>
        </w:rPr>
        <w:t>无。</w:t>
      </w:r>
      <w:r>
        <w:rPr>
          <w:rFonts w:hint="eastAsia" w:ascii="仿宋" w:hAnsi="仿宋" w:eastAsia="仿宋" w:cs="仿宋"/>
          <w:sz w:val="32"/>
          <w:szCs w:val="32"/>
        </w:rPr>
        <w:t>与上年决算相比，增加（减少） 0.00万元，增长（减少）</w:t>
      </w:r>
      <w:r>
        <w:rPr>
          <w:rFonts w:hint="eastAsia" w:ascii="仿宋" w:hAnsi="仿宋" w:eastAsia="仿宋" w:cs="仿宋"/>
          <w:sz w:val="32"/>
          <w:szCs w:val="32"/>
          <w:lang w:eastAsia="zh-CN"/>
        </w:rPr>
        <w:t>0</w:t>
      </w:r>
      <w:r>
        <w:rPr>
          <w:rFonts w:hint="eastAsia" w:ascii="仿宋" w:hAnsi="仿宋" w:eastAsia="仿宋" w:cs="仿宋"/>
          <w:sz w:val="32"/>
          <w:szCs w:val="32"/>
        </w:rPr>
        <w:t>%，变动原因：不存在此项内容。</w:t>
      </w:r>
    </w:p>
    <w:p w14:paraId="3CEB5AB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二、收入决算情况说明</w:t>
      </w:r>
    </w:p>
    <w:p w14:paraId="358FCAC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呼和浩特市民政局综合保障中心 2023年度本年收入决算合计 804.04万元，其中：</w:t>
      </w:r>
    </w:p>
    <w:p w14:paraId="1581D6C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本年一般公共预算财政拨款收入 793.40万元，占 98.68%；</w:t>
      </w:r>
    </w:p>
    <w:p w14:paraId="5FE35F36">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本年政府性基金预算财政拨款收入 0.00万元，占 0.00%；</w:t>
      </w:r>
    </w:p>
    <w:p w14:paraId="17E64C8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本年国有资本经营预算财政拨款收入 0.00万元，占 0.00%；</w:t>
      </w:r>
    </w:p>
    <w:p w14:paraId="01508E3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本年上级补助收入 0.00万元，占 0.00%；</w:t>
      </w:r>
    </w:p>
    <w:p w14:paraId="619CBB4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本年事业收入 0.00万元，占 0.00%；</w:t>
      </w:r>
    </w:p>
    <w:p w14:paraId="343B86D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本年经营收入 0.00万元，占 0.00%；</w:t>
      </w:r>
    </w:p>
    <w:p w14:paraId="0ABB486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本年附属单位上缴收入 0.00万元，占 0.00%；</w:t>
      </w:r>
    </w:p>
    <w:p w14:paraId="442FB3A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本年其他收入 10.64万元，占 1.32%。</w:t>
      </w:r>
    </w:p>
    <w:p w14:paraId="19CB7DD1">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drawing>
          <wp:inline distT="0" distB="0" distL="114300" distR="114300">
            <wp:extent cx="4523105" cy="2575560"/>
            <wp:effectExtent l="0" t="0" r="10795" b="15240"/>
            <wp:docPr id="1" name="图片 1"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2"/>
                    <pic:cNvPicPr>
                      <a:picLocks noChangeAspect="1"/>
                    </pic:cNvPicPr>
                  </pic:nvPicPr>
                  <pic:blipFill>
                    <a:blip r:embed="rId5"/>
                    <a:stretch>
                      <a:fillRect/>
                    </a:stretch>
                  </pic:blipFill>
                  <pic:spPr>
                    <a:xfrm>
                      <a:off x="0" y="0"/>
                      <a:ext cx="4523105" cy="2575560"/>
                    </a:xfrm>
                    <a:prstGeom prst="rect">
                      <a:avLst/>
                    </a:prstGeom>
                  </pic:spPr>
                </pic:pic>
              </a:graphicData>
            </a:graphic>
          </wp:inline>
        </w:drawing>
      </w:r>
    </w:p>
    <w:p w14:paraId="44DA9EFB">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center"/>
        <w:textAlignment w:val="auto"/>
        <w:rPr>
          <w:rFonts w:hint="eastAsia" w:ascii="仿宋" w:hAnsi="仿宋" w:eastAsia="仿宋" w:cs="仿宋"/>
          <w:sz w:val="32"/>
          <w:szCs w:val="32"/>
        </w:rPr>
      </w:pPr>
      <w:r>
        <w:rPr>
          <w:rFonts w:hint="eastAsia" w:ascii="仿宋" w:hAnsi="仿宋" w:eastAsia="仿宋" w:cs="仿宋"/>
          <w:sz w:val="32"/>
          <w:szCs w:val="32"/>
        </w:rPr>
        <w:t>图1.收入决算图</w:t>
      </w:r>
    </w:p>
    <w:p w14:paraId="1C47ADB7">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 w:hAnsi="仿宋" w:eastAsia="仿宋" w:cs="仿宋"/>
          <w:sz w:val="32"/>
          <w:szCs w:val="32"/>
        </w:rPr>
      </w:pPr>
      <w:r>
        <w:rPr>
          <w:rFonts w:hint="eastAsia" w:ascii="仿宋" w:hAnsi="仿宋" w:eastAsia="仿宋" w:cs="仿宋"/>
          <w:sz w:val="32"/>
          <w:szCs w:val="32"/>
        </w:rPr>
        <w:t>三、支出决算情况说明</w:t>
      </w:r>
    </w:p>
    <w:p w14:paraId="26867F8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呼和浩特市民政局综合保障中心 2023年度本年支出决算合计 804.04万元，其中：</w:t>
      </w:r>
    </w:p>
    <w:p w14:paraId="2899D9C6">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本年基本支出 243.71万元，占 30.31%；</w:t>
      </w:r>
    </w:p>
    <w:p w14:paraId="57D9F07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本年项目支出 560.33万元，占 69.69%；</w:t>
      </w:r>
    </w:p>
    <w:p w14:paraId="1268925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本年上缴上级支出 0.00万元，占 0.00%；</w:t>
      </w:r>
    </w:p>
    <w:p w14:paraId="2DED0CF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本年经营支出 0.00万元，占 0.00%；</w:t>
      </w:r>
    </w:p>
    <w:p w14:paraId="5D6FE606">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本年对附属单位补助支出 0.00万元，占 0.00%。</w:t>
      </w:r>
    </w:p>
    <w:p w14:paraId="35A6B0D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p>
    <w:p w14:paraId="04933FE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rPr>
          <w:rFonts w:hint="eastAsia" w:ascii="仿宋" w:hAnsi="仿宋" w:eastAsia="仿宋" w:cs="仿宋"/>
          <w:sz w:val="32"/>
          <w:szCs w:val="32"/>
        </w:rPr>
      </w:pPr>
      <w:r>
        <w:rPr>
          <w:rFonts w:hint="eastAsia" w:ascii="仿宋" w:hAnsi="仿宋" w:eastAsia="仿宋" w:cs="仿宋"/>
          <w:sz w:val="32"/>
          <w:szCs w:val="32"/>
        </w:rPr>
        <w:drawing>
          <wp:inline distT="0" distB="0" distL="114300" distR="114300">
            <wp:extent cx="4450080" cy="2533650"/>
            <wp:effectExtent l="0" t="0" r="7620" b="0"/>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6"/>
                    <a:stretch>
                      <a:fillRect/>
                    </a:stretch>
                  </pic:blipFill>
                  <pic:spPr>
                    <a:xfrm>
                      <a:off x="0" y="0"/>
                      <a:ext cx="4450080" cy="2533650"/>
                    </a:xfrm>
                    <a:prstGeom prst="rect">
                      <a:avLst/>
                    </a:prstGeom>
                  </pic:spPr>
                </pic:pic>
              </a:graphicData>
            </a:graphic>
          </wp:inline>
        </w:drawing>
      </w:r>
      <w:r>
        <w:rPr>
          <w:rFonts w:hint="eastAsia" w:ascii="仿宋" w:hAnsi="仿宋" w:eastAsia="仿宋" w:cs="仿宋"/>
          <w:sz w:val="32"/>
          <w:szCs w:val="32"/>
        </w:rPr>
        <w:t xml:space="preserve">  </w:t>
      </w:r>
    </w:p>
    <w:p w14:paraId="6432E8E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rPr>
          <w:rFonts w:hint="eastAsia" w:ascii="仿宋" w:hAnsi="仿宋" w:eastAsia="仿宋" w:cs="仿宋"/>
          <w:sz w:val="32"/>
          <w:szCs w:val="32"/>
        </w:rPr>
      </w:pPr>
      <w:r>
        <w:rPr>
          <w:rFonts w:hint="eastAsia" w:ascii="仿宋" w:hAnsi="仿宋" w:eastAsia="仿宋" w:cs="仿宋"/>
          <w:sz w:val="32"/>
          <w:szCs w:val="32"/>
        </w:rPr>
        <w:t>图2.支出决算图</w:t>
      </w:r>
    </w:p>
    <w:p w14:paraId="54E19ACD">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四、财政拨款收入支出决算总体情况说明</w:t>
      </w:r>
    </w:p>
    <w:p w14:paraId="4DE72DD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 xml:space="preserve">呼和浩特市民政局综合保障中心 2023年度财政拨款收入、支出决算总计 </w:t>
      </w:r>
      <w:r>
        <w:rPr>
          <w:rFonts w:hint="eastAsia" w:ascii="仿宋" w:hAnsi="仿宋" w:eastAsia="仿宋" w:cs="仿宋"/>
          <w:sz w:val="32"/>
          <w:szCs w:val="32"/>
          <w:highlight w:val="none"/>
        </w:rPr>
        <w:t>793.40</w:t>
      </w:r>
      <w:r>
        <w:rPr>
          <w:rFonts w:hint="eastAsia" w:ascii="仿宋" w:hAnsi="仿宋" w:eastAsia="仿宋" w:cs="仿宋"/>
          <w:sz w:val="32"/>
          <w:szCs w:val="32"/>
        </w:rPr>
        <w:t>万元，与年初预算相比，收、支总计各增加 2.00万元，增长 0.25%，变动原因：人员经费上涨；与上年决算相比，收、支总计各增加 76.07万元，增长） 10.60%，变动原因：其中：收取福利企业托管人员代扣代缴社会保险个人部分费用</w:t>
      </w:r>
      <w:r>
        <w:rPr>
          <w:rFonts w:hint="eastAsia" w:ascii="仿宋" w:hAnsi="仿宋" w:eastAsia="仿宋" w:cs="仿宋"/>
          <w:sz w:val="32"/>
          <w:szCs w:val="32"/>
          <w:lang w:eastAsia="zh-CN"/>
        </w:rPr>
        <w:t>。</w:t>
      </w:r>
    </w:p>
    <w:p w14:paraId="19A4E6B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五、一般公共预算财政拨款支出决算情况说明</w:t>
      </w:r>
    </w:p>
    <w:p w14:paraId="2FA934C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呼和浩特市民政局综合保障中心 2023年度一般公共预算财政拨款支出决</w:t>
      </w:r>
      <w:r>
        <w:rPr>
          <w:rFonts w:hint="eastAsia" w:ascii="仿宋" w:hAnsi="仿宋" w:eastAsia="仿宋" w:cs="仿宋"/>
          <w:sz w:val="32"/>
          <w:szCs w:val="32"/>
          <w:highlight w:val="none"/>
        </w:rPr>
        <w:t>算 793.40万</w:t>
      </w:r>
      <w:r>
        <w:rPr>
          <w:rFonts w:hint="eastAsia" w:ascii="仿宋" w:hAnsi="仿宋" w:eastAsia="仿宋" w:cs="仿宋"/>
          <w:sz w:val="32"/>
          <w:szCs w:val="32"/>
        </w:rPr>
        <w:t>元。与年初预算 791.40万元相比，完成年初预算的 100.25%。其中：收取福利企业托管人员代扣代缴社会保险个人部分费用。</w:t>
      </w:r>
    </w:p>
    <w:p w14:paraId="4EA8546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（一）一般公共服务（类）</w:t>
      </w:r>
    </w:p>
    <w:p w14:paraId="3326B4F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一般公共服务类决算数为 0.00万元，与年初预算相比增加（减少） 0.00万元。</w:t>
      </w:r>
    </w:p>
    <w:p w14:paraId="02A3562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（二）公共安全（类）</w:t>
      </w:r>
    </w:p>
    <w:p w14:paraId="65E10A3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公共安全类决算数为 0.00万元，与年初预算相比增加（减少） 0.00万元。</w:t>
      </w:r>
    </w:p>
    <w:p w14:paraId="67574EF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（三）社会保障和就业支出（类）</w:t>
      </w:r>
    </w:p>
    <w:p w14:paraId="53EB01B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社会保障和就业支出类决算数为 765.57万元，与年初预算相比增加 3.80万元。其中：</w:t>
      </w:r>
    </w:p>
    <w:p w14:paraId="08ADCA1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1．行政事业单位养老支出（款）行政单位离退休（项）。年初预算7.05万元，支出决算8.53万元，完成年初预算的120.99%。决算数与年初预算数的差异原因：退休一人。</w:t>
      </w:r>
    </w:p>
    <w:p w14:paraId="5FEB5E8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2．行政事业单位养老支出（款）事业单位离退休（项）。年初预算0万元，支出决0万元，完成年初预算的0%。决算数与年初预算数的差异原因：不存在此项内容。</w:t>
      </w:r>
    </w:p>
    <w:p w14:paraId="5C2F780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行政事业单位养老支出（款）机关事业单位基本养老保险缴费支出（项）。年初预算19.78万元，支出决算17.96万元，完成年初预算的90.80%。决算数与年初预算数的差异原因：一是存在在职转退休人员；二是调出一人</w:t>
      </w:r>
    </w:p>
    <w:p w14:paraId="2E63AC0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4．行政事业单位养老支出（款）机关事业单位职业年金缴费支出（项）。年初预算9.15万元，支出决算9.46万元，完成年初预算的103.39%。决算数与年初预算数的差异原因：</w:t>
      </w:r>
      <w:r>
        <w:rPr>
          <w:rFonts w:hint="eastAsia" w:ascii="仿宋" w:hAnsi="仿宋" w:eastAsia="仿宋" w:cs="仿宋"/>
          <w:sz w:val="32"/>
          <w:szCs w:val="32"/>
          <w:lang w:eastAsia="zh-CN"/>
        </w:rPr>
        <w:t>职业</w:t>
      </w:r>
      <w:r>
        <w:rPr>
          <w:rFonts w:hint="eastAsia" w:ascii="仿宋" w:hAnsi="仿宋" w:eastAsia="仿宋" w:cs="仿宋"/>
          <w:sz w:val="32"/>
          <w:szCs w:val="32"/>
        </w:rPr>
        <w:t>年金基数上涨。</w:t>
      </w:r>
    </w:p>
    <w:p w14:paraId="5A383A1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（四）卫生健康支出（类）</w:t>
      </w:r>
      <w:bookmarkStart w:id="0" w:name="_GoBack"/>
      <w:bookmarkEnd w:id="0"/>
    </w:p>
    <w:p w14:paraId="6E2F527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卫生健康支出类决算数为 9.73万元，与年初预算相比减少 1.78万元。其中：</w:t>
      </w:r>
    </w:p>
    <w:p w14:paraId="7DC819D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1．行政事业单位医疗（款）行政单位医疗（项）。年初预算8.29万元，支出决算7.03万元，完成年初预算的84.80%。决算数与年初预算数的差异原因：存在在职转退休的人员。</w:t>
      </w:r>
    </w:p>
    <w:p w14:paraId="582AEA2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行政事业单位医疗（款）事业单位医疗（项）。年初预算0.03万元，支出决算0.025万元，完成年初预算的83.33%。决算数与年初预算数的差异原因：存在在职转退休的人员。</w:t>
      </w:r>
    </w:p>
    <w:p w14:paraId="1869D87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rPr>
        <w:t>行政事业单位医疗（款）公务员医疗补助（项）。年初预算3.19万元，支出决算2.68万元，完成年初预算的84.01%。决算数与年初预算数的差异原因：一是存在在职转退休人员；二是调出一人。</w:t>
      </w:r>
    </w:p>
    <w:p w14:paraId="2B6E6B11">
      <w:pPr>
        <w:keepNext w:val="0"/>
        <w:keepLines w:val="0"/>
        <w:pageBreakBefore w:val="0"/>
        <w:widowControl w:val="0"/>
        <w:kinsoku/>
        <w:wordWrap/>
        <w:overflowPunct/>
        <w:topLinePunct w:val="0"/>
        <w:autoSpaceDE/>
        <w:autoSpaceDN/>
        <w:bidi w:val="0"/>
        <w:adjustRightInd/>
        <w:snapToGrid/>
        <w:spacing w:line="580" w:lineRule="exact"/>
        <w:ind w:firstLine="320" w:firstLineChars="100"/>
        <w:textAlignment w:val="auto"/>
        <w:rPr>
          <w:rFonts w:hint="eastAsia" w:ascii="仿宋" w:hAnsi="仿宋" w:eastAsia="仿宋" w:cs="仿宋"/>
          <w:sz w:val="32"/>
          <w:szCs w:val="32"/>
        </w:rPr>
      </w:pPr>
      <w:r>
        <w:rPr>
          <w:rFonts w:hint="eastAsia" w:ascii="仿宋" w:hAnsi="仿宋" w:eastAsia="仿宋" w:cs="仿宋"/>
          <w:sz w:val="32"/>
          <w:szCs w:val="32"/>
        </w:rPr>
        <w:t>（五）住房保障支出（类）</w:t>
      </w:r>
    </w:p>
    <w:p w14:paraId="00C4812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住房保障支出类决算数为 18.10万元，与年初预算相比减少 0.02万元。其中：</w:t>
      </w:r>
    </w:p>
    <w:p w14:paraId="16083EE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住房改革支出（款）住房公积金（项）。年初预算15.24万元，支出决算15.22万元，完成年初预算的99.87%。决算数与年初预算数的差异原因：一是存在在职转退休人员；二是调出一人</w:t>
      </w:r>
      <w:r>
        <w:rPr>
          <w:rFonts w:hint="eastAsia" w:ascii="仿宋" w:hAnsi="仿宋" w:eastAsia="仿宋" w:cs="仿宋"/>
          <w:sz w:val="32"/>
          <w:szCs w:val="32"/>
          <w:lang w:eastAsia="zh-CN"/>
        </w:rPr>
        <w:t>。</w:t>
      </w:r>
    </w:p>
    <w:p w14:paraId="6E5FB2E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rPr>
        <w:t>住房改革支出（款）津贴补贴（项）。年初预算2.88万元，支出决算</w:t>
      </w:r>
      <w:r>
        <w:rPr>
          <w:rFonts w:hint="eastAsia" w:ascii="仿宋" w:hAnsi="仿宋" w:eastAsia="仿宋" w:cs="仿宋"/>
          <w:sz w:val="32"/>
          <w:szCs w:val="32"/>
          <w:lang w:val="en-US" w:eastAsia="zh-CN"/>
        </w:rPr>
        <w:t>2.88</w:t>
      </w:r>
      <w:r>
        <w:rPr>
          <w:rFonts w:hint="eastAsia" w:ascii="仿宋" w:hAnsi="仿宋" w:eastAsia="仿宋" w:cs="仿宋"/>
          <w:sz w:val="32"/>
          <w:szCs w:val="32"/>
        </w:rPr>
        <w:t>万元，完成年初预算的</w:t>
      </w:r>
      <w:r>
        <w:rPr>
          <w:rFonts w:hint="eastAsia" w:ascii="仿宋" w:hAnsi="仿宋" w:eastAsia="仿宋" w:cs="仿宋"/>
          <w:sz w:val="32"/>
          <w:szCs w:val="32"/>
          <w:lang w:val="en-US" w:eastAsia="zh-CN"/>
        </w:rPr>
        <w:t>100</w:t>
      </w:r>
      <w:r>
        <w:rPr>
          <w:rFonts w:hint="eastAsia" w:ascii="仿宋" w:hAnsi="仿宋" w:eastAsia="仿宋" w:cs="仿宋"/>
          <w:sz w:val="32"/>
          <w:szCs w:val="32"/>
        </w:rPr>
        <w:t>%。决算数与年初预算数的差异原因</w:t>
      </w:r>
      <w:r>
        <w:rPr>
          <w:rFonts w:hint="eastAsia" w:ascii="仿宋" w:hAnsi="仿宋" w:eastAsia="仿宋" w:cs="仿宋"/>
          <w:sz w:val="32"/>
          <w:szCs w:val="32"/>
          <w:lang w:eastAsia="zh-CN"/>
        </w:rPr>
        <w:t>：不存在差异。</w:t>
      </w:r>
    </w:p>
    <w:p w14:paraId="4D05EAC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六、一般公共预算财政拨款基本支出决算情况说明</w:t>
      </w:r>
    </w:p>
    <w:p w14:paraId="003D2EC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呼和浩特市民政局综合保障中心 2023年度一般公共预算财政拨款基本支出决算 243.71万元，其中：</w:t>
      </w:r>
    </w:p>
    <w:p w14:paraId="41B6624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（一）人员经费 227.67万元。主要包括：基本工资</w:t>
      </w:r>
      <w:r>
        <w:rPr>
          <w:rFonts w:hint="eastAsia" w:ascii="仿宋" w:hAnsi="仿宋" w:eastAsia="仿宋" w:cs="仿宋"/>
          <w:sz w:val="32"/>
          <w:szCs w:val="32"/>
          <w:lang w:val="en-US" w:eastAsia="zh-CN"/>
        </w:rPr>
        <w:t>56.73万元</w:t>
      </w:r>
      <w:r>
        <w:rPr>
          <w:rFonts w:hint="eastAsia" w:ascii="仿宋" w:hAnsi="仿宋" w:eastAsia="仿宋" w:cs="仿宋"/>
          <w:sz w:val="32"/>
          <w:szCs w:val="32"/>
        </w:rPr>
        <w:t>、津贴补贴</w:t>
      </w:r>
      <w:r>
        <w:rPr>
          <w:rFonts w:hint="eastAsia" w:ascii="仿宋" w:hAnsi="仿宋" w:eastAsia="仿宋" w:cs="仿宋"/>
          <w:sz w:val="32"/>
          <w:szCs w:val="32"/>
          <w:lang w:val="en-US" w:eastAsia="zh-CN"/>
        </w:rPr>
        <w:t>100.28万元</w:t>
      </w:r>
      <w:r>
        <w:rPr>
          <w:rFonts w:hint="eastAsia" w:ascii="仿宋" w:hAnsi="仿宋" w:eastAsia="仿宋" w:cs="仿宋"/>
          <w:sz w:val="32"/>
          <w:szCs w:val="32"/>
        </w:rPr>
        <w:t>、奖金</w:t>
      </w:r>
      <w:r>
        <w:rPr>
          <w:rFonts w:hint="eastAsia" w:ascii="仿宋" w:hAnsi="仿宋" w:eastAsia="仿宋" w:cs="仿宋"/>
          <w:sz w:val="32"/>
          <w:szCs w:val="32"/>
          <w:lang w:val="en-US" w:eastAsia="zh-CN"/>
        </w:rPr>
        <w:t>9.64万元</w:t>
      </w:r>
      <w:r>
        <w:rPr>
          <w:rFonts w:hint="eastAsia" w:ascii="仿宋" w:hAnsi="仿宋" w:eastAsia="仿宋" w:cs="仿宋"/>
          <w:sz w:val="32"/>
          <w:szCs w:val="32"/>
        </w:rPr>
        <w:t>、</w:t>
      </w:r>
      <w:r>
        <w:rPr>
          <w:rFonts w:hint="eastAsia" w:ascii="仿宋" w:hAnsi="仿宋" w:eastAsia="仿宋" w:cs="仿宋"/>
          <w:sz w:val="32"/>
          <w:szCs w:val="32"/>
          <w:lang w:val="en-US" w:eastAsia="zh-CN"/>
        </w:rPr>
        <w:t>机关事业单位基本养老保险</w:t>
      </w:r>
      <w:r>
        <w:rPr>
          <w:rFonts w:hint="eastAsia" w:ascii="仿宋" w:hAnsi="仿宋" w:eastAsia="仿宋" w:cs="仿宋"/>
          <w:sz w:val="32"/>
          <w:szCs w:val="32"/>
        </w:rPr>
        <w:t>缴费</w:t>
      </w:r>
      <w:r>
        <w:rPr>
          <w:rFonts w:hint="eastAsia" w:ascii="仿宋" w:hAnsi="仿宋" w:eastAsia="仿宋" w:cs="仿宋"/>
          <w:sz w:val="32"/>
          <w:szCs w:val="32"/>
          <w:lang w:val="en-US" w:eastAsia="zh-CN"/>
        </w:rPr>
        <w:t>17.96万元、职业年金缴费9.46万元、职工基本医疗保险缴费7.03万元、公务员医疗补助缴费2.68万元、</w:t>
      </w:r>
      <w:r>
        <w:rPr>
          <w:rFonts w:hint="eastAsia" w:ascii="仿宋" w:hAnsi="仿宋" w:eastAsia="仿宋" w:cs="仿宋"/>
          <w:sz w:val="32"/>
          <w:szCs w:val="32"/>
        </w:rPr>
        <w:t>住房公积金</w:t>
      </w:r>
      <w:r>
        <w:rPr>
          <w:rFonts w:hint="eastAsia" w:ascii="仿宋" w:hAnsi="仿宋" w:eastAsia="仿宋" w:cs="仿宋"/>
          <w:sz w:val="32"/>
          <w:szCs w:val="32"/>
          <w:lang w:val="en-US" w:eastAsia="zh-CN"/>
        </w:rPr>
        <w:t>15.22万元、</w:t>
      </w:r>
      <w:r>
        <w:rPr>
          <w:rFonts w:hint="eastAsia" w:ascii="仿宋" w:hAnsi="仿宋" w:eastAsia="仿宋" w:cs="仿宋"/>
          <w:sz w:val="32"/>
          <w:szCs w:val="32"/>
        </w:rPr>
        <w:t>其他</w:t>
      </w:r>
      <w:r>
        <w:rPr>
          <w:rFonts w:hint="eastAsia" w:ascii="仿宋" w:hAnsi="仿宋" w:eastAsia="仿宋" w:cs="仿宋"/>
          <w:sz w:val="32"/>
          <w:szCs w:val="32"/>
          <w:lang w:val="en-US" w:eastAsia="zh-CN"/>
        </w:rPr>
        <w:t>社会保障缴费0.23万元</w:t>
      </w:r>
      <w:r>
        <w:rPr>
          <w:rFonts w:hint="eastAsia" w:ascii="仿宋" w:hAnsi="仿宋" w:eastAsia="仿宋" w:cs="仿宋"/>
          <w:sz w:val="32"/>
          <w:szCs w:val="32"/>
        </w:rPr>
        <w:t>、退休费</w:t>
      </w:r>
      <w:r>
        <w:rPr>
          <w:rFonts w:hint="eastAsia" w:ascii="仿宋" w:hAnsi="仿宋" w:eastAsia="仿宋" w:cs="仿宋"/>
          <w:sz w:val="32"/>
          <w:szCs w:val="32"/>
          <w:lang w:val="en-US" w:eastAsia="zh-CN"/>
        </w:rPr>
        <w:t>8.42万元</w:t>
      </w:r>
      <w:r>
        <w:rPr>
          <w:rFonts w:hint="eastAsia" w:ascii="仿宋" w:hAnsi="仿宋" w:eastAsia="仿宋" w:cs="仿宋"/>
          <w:sz w:val="32"/>
          <w:szCs w:val="32"/>
        </w:rPr>
        <w:t>、生活补助、医疗费</w:t>
      </w:r>
      <w:r>
        <w:rPr>
          <w:rFonts w:hint="eastAsia" w:ascii="仿宋" w:hAnsi="仿宋" w:eastAsia="仿宋" w:cs="仿宋"/>
          <w:sz w:val="32"/>
          <w:szCs w:val="32"/>
          <w:lang w:val="en-US" w:eastAsia="zh-CN"/>
        </w:rPr>
        <w:t>补助0.03万元</w:t>
      </w:r>
      <w:r>
        <w:rPr>
          <w:rFonts w:hint="eastAsia" w:ascii="仿宋" w:hAnsi="仿宋" w:eastAsia="仿宋" w:cs="仿宋"/>
          <w:sz w:val="32"/>
          <w:szCs w:val="32"/>
        </w:rPr>
        <w:t>。</w:t>
      </w:r>
    </w:p>
    <w:p w14:paraId="2CCF2A9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（二）公用经费 16.05万元。主要包括：办公费</w:t>
      </w:r>
      <w:r>
        <w:rPr>
          <w:rFonts w:hint="eastAsia" w:ascii="仿宋" w:hAnsi="仿宋" w:eastAsia="仿宋" w:cs="仿宋"/>
          <w:sz w:val="32"/>
          <w:szCs w:val="32"/>
          <w:lang w:val="en-US" w:eastAsia="zh-CN"/>
        </w:rPr>
        <w:t>1.38万元</w:t>
      </w:r>
      <w:r>
        <w:rPr>
          <w:rFonts w:hint="eastAsia" w:ascii="仿宋" w:hAnsi="仿宋" w:eastAsia="仿宋" w:cs="仿宋"/>
          <w:sz w:val="32"/>
          <w:szCs w:val="32"/>
        </w:rPr>
        <w:t>、印刷费</w:t>
      </w:r>
      <w:r>
        <w:rPr>
          <w:rFonts w:hint="eastAsia" w:ascii="仿宋" w:hAnsi="仿宋" w:eastAsia="仿宋" w:cs="仿宋"/>
          <w:sz w:val="32"/>
          <w:szCs w:val="32"/>
          <w:lang w:val="en-US" w:eastAsia="zh-CN"/>
        </w:rPr>
        <w:t>1.23万元</w:t>
      </w:r>
      <w:r>
        <w:rPr>
          <w:rFonts w:hint="eastAsia" w:ascii="仿宋" w:hAnsi="仿宋" w:eastAsia="仿宋" w:cs="仿宋"/>
          <w:sz w:val="32"/>
          <w:szCs w:val="32"/>
        </w:rPr>
        <w:t>、差旅费</w:t>
      </w:r>
      <w:r>
        <w:rPr>
          <w:rFonts w:hint="eastAsia" w:ascii="仿宋" w:hAnsi="仿宋" w:eastAsia="仿宋" w:cs="仿宋"/>
          <w:sz w:val="32"/>
          <w:szCs w:val="32"/>
          <w:lang w:val="en-US" w:eastAsia="zh-CN"/>
        </w:rPr>
        <w:t>0.27万元</w:t>
      </w:r>
      <w:r>
        <w:rPr>
          <w:rFonts w:hint="eastAsia" w:ascii="仿宋" w:hAnsi="仿宋" w:eastAsia="仿宋" w:cs="仿宋"/>
          <w:sz w:val="32"/>
          <w:szCs w:val="32"/>
        </w:rPr>
        <w:t>、维修（护）费</w:t>
      </w:r>
      <w:r>
        <w:rPr>
          <w:rFonts w:hint="eastAsia" w:ascii="仿宋" w:hAnsi="仿宋" w:eastAsia="仿宋" w:cs="仿宋"/>
          <w:sz w:val="32"/>
          <w:szCs w:val="32"/>
          <w:lang w:val="en-US" w:eastAsia="zh-CN"/>
        </w:rPr>
        <w:t>0.46万元</w:t>
      </w:r>
      <w:r>
        <w:rPr>
          <w:rFonts w:hint="eastAsia" w:ascii="仿宋" w:hAnsi="仿宋" w:eastAsia="仿宋" w:cs="仿宋"/>
          <w:sz w:val="32"/>
          <w:szCs w:val="32"/>
        </w:rPr>
        <w:t>、福利费</w:t>
      </w:r>
      <w:r>
        <w:rPr>
          <w:rFonts w:hint="eastAsia" w:ascii="仿宋" w:hAnsi="仿宋" w:eastAsia="仿宋" w:cs="仿宋"/>
          <w:sz w:val="32"/>
          <w:szCs w:val="32"/>
          <w:lang w:val="en-US" w:eastAsia="zh-CN"/>
        </w:rPr>
        <w:t>0.87万元</w:t>
      </w:r>
      <w:r>
        <w:rPr>
          <w:rFonts w:hint="eastAsia" w:ascii="仿宋" w:hAnsi="仿宋" w:eastAsia="仿宋" w:cs="仿宋"/>
          <w:sz w:val="32"/>
          <w:szCs w:val="32"/>
        </w:rPr>
        <w:t>、其他交通费用</w:t>
      </w:r>
      <w:r>
        <w:rPr>
          <w:rFonts w:hint="eastAsia" w:ascii="仿宋" w:hAnsi="仿宋" w:eastAsia="仿宋" w:cs="仿宋"/>
          <w:sz w:val="32"/>
          <w:szCs w:val="32"/>
          <w:lang w:val="en-US" w:eastAsia="zh-CN"/>
        </w:rPr>
        <w:t>10.62万元</w:t>
      </w:r>
      <w:r>
        <w:rPr>
          <w:rFonts w:hint="eastAsia" w:ascii="仿宋" w:hAnsi="仿宋" w:eastAsia="仿宋" w:cs="仿宋"/>
          <w:sz w:val="32"/>
          <w:szCs w:val="32"/>
        </w:rPr>
        <w:t>、其他商品和服务支出</w:t>
      </w:r>
      <w:r>
        <w:rPr>
          <w:rFonts w:hint="eastAsia" w:ascii="仿宋" w:hAnsi="仿宋" w:eastAsia="仿宋" w:cs="仿宋"/>
          <w:sz w:val="32"/>
          <w:szCs w:val="32"/>
          <w:lang w:val="en-US" w:eastAsia="zh-CN"/>
        </w:rPr>
        <w:t>0.11万元</w:t>
      </w:r>
      <w:r>
        <w:rPr>
          <w:rFonts w:hint="eastAsia" w:ascii="仿宋" w:hAnsi="仿宋" w:eastAsia="仿宋" w:cs="仿宋"/>
          <w:sz w:val="32"/>
          <w:szCs w:val="32"/>
        </w:rPr>
        <w:t>、</w:t>
      </w:r>
      <w:r>
        <w:rPr>
          <w:rFonts w:hint="eastAsia" w:ascii="仿宋" w:hAnsi="仿宋" w:eastAsia="仿宋" w:cs="仿宋"/>
          <w:sz w:val="32"/>
          <w:szCs w:val="32"/>
          <w:lang w:val="en-US" w:eastAsia="zh-CN"/>
        </w:rPr>
        <w:t>办公设备购置1.10万元</w:t>
      </w:r>
      <w:r>
        <w:rPr>
          <w:rFonts w:hint="eastAsia" w:ascii="仿宋" w:hAnsi="仿宋" w:eastAsia="仿宋" w:cs="仿宋"/>
          <w:sz w:val="32"/>
          <w:szCs w:val="32"/>
        </w:rPr>
        <w:t>。</w:t>
      </w:r>
    </w:p>
    <w:p w14:paraId="256DDFB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黑体" w:hAnsi="黑体" w:eastAsia="黑体" w:cs="黑体"/>
          <w:sz w:val="32"/>
          <w:szCs w:val="32"/>
        </w:rPr>
        <w:t>七、一般公共预算财政拨款项目支出决算情况说明</w:t>
      </w:r>
    </w:p>
    <w:p w14:paraId="1EADD6D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呼和浩特市民政局综合保障中心2023年度一般公共预算财政拨款项目支出决算 5</w:t>
      </w:r>
      <w:r>
        <w:rPr>
          <w:rFonts w:hint="eastAsia" w:ascii="仿宋" w:hAnsi="仿宋" w:eastAsia="仿宋" w:cs="仿宋"/>
          <w:sz w:val="32"/>
          <w:szCs w:val="32"/>
          <w:lang w:val="en-US" w:eastAsia="zh-CN"/>
        </w:rPr>
        <w:t>60.32</w:t>
      </w:r>
      <w:r>
        <w:rPr>
          <w:rFonts w:hint="eastAsia" w:ascii="仿宋" w:hAnsi="仿宋" w:eastAsia="仿宋" w:cs="仿宋"/>
          <w:sz w:val="32"/>
          <w:szCs w:val="32"/>
        </w:rPr>
        <w:t>万元，其中：</w:t>
      </w:r>
    </w:p>
    <w:p w14:paraId="49D8932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（一）工资福利支出 4.16万元。主要包括：基本工资、津贴补贴</w:t>
      </w:r>
      <w:r>
        <w:rPr>
          <w:rFonts w:hint="eastAsia" w:ascii="仿宋" w:hAnsi="仿宋" w:eastAsia="仿宋" w:cs="仿宋"/>
          <w:sz w:val="32"/>
          <w:szCs w:val="32"/>
          <w:lang w:val="en-US" w:eastAsia="zh-CN"/>
        </w:rPr>
        <w:t>2.33万元</w:t>
      </w:r>
      <w:r>
        <w:rPr>
          <w:rFonts w:hint="eastAsia" w:ascii="仿宋" w:hAnsi="仿宋" w:eastAsia="仿宋" w:cs="仿宋"/>
          <w:sz w:val="32"/>
          <w:szCs w:val="32"/>
        </w:rPr>
        <w:t>、其他社会保障缴费</w:t>
      </w:r>
      <w:r>
        <w:rPr>
          <w:rFonts w:hint="eastAsia" w:ascii="仿宋" w:hAnsi="仿宋" w:eastAsia="仿宋" w:cs="仿宋"/>
          <w:sz w:val="32"/>
          <w:szCs w:val="32"/>
          <w:lang w:val="en-US" w:eastAsia="zh-CN"/>
        </w:rPr>
        <w:t>1.83万元</w:t>
      </w:r>
      <w:r>
        <w:rPr>
          <w:rFonts w:hint="eastAsia" w:ascii="仿宋" w:hAnsi="仿宋" w:eastAsia="仿宋" w:cs="仿宋"/>
          <w:sz w:val="32"/>
          <w:szCs w:val="32"/>
        </w:rPr>
        <w:t>。</w:t>
      </w:r>
    </w:p>
    <w:p w14:paraId="781CA15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（二）商品和服务支出 13.96万元。主要包括：办公费</w:t>
      </w:r>
      <w:r>
        <w:rPr>
          <w:rFonts w:hint="eastAsia" w:ascii="仿宋" w:hAnsi="仿宋" w:eastAsia="仿宋" w:cs="仿宋"/>
          <w:sz w:val="32"/>
          <w:szCs w:val="32"/>
          <w:lang w:val="en-US" w:eastAsia="zh-CN"/>
        </w:rPr>
        <w:t>0.47万元</w:t>
      </w:r>
      <w:r>
        <w:rPr>
          <w:rFonts w:hint="eastAsia" w:ascii="仿宋" w:hAnsi="仿宋" w:eastAsia="仿宋" w:cs="仿宋"/>
          <w:sz w:val="32"/>
          <w:szCs w:val="32"/>
        </w:rPr>
        <w:t>、印刷费</w:t>
      </w:r>
      <w:r>
        <w:rPr>
          <w:rFonts w:hint="eastAsia" w:ascii="仿宋" w:hAnsi="仿宋" w:eastAsia="仿宋" w:cs="仿宋"/>
          <w:sz w:val="32"/>
          <w:szCs w:val="32"/>
          <w:lang w:val="en-US" w:eastAsia="zh-CN"/>
        </w:rPr>
        <w:t>0.97万元</w:t>
      </w:r>
      <w:r>
        <w:rPr>
          <w:rFonts w:hint="eastAsia" w:ascii="仿宋" w:hAnsi="仿宋" w:eastAsia="仿宋" w:cs="仿宋"/>
          <w:sz w:val="32"/>
          <w:szCs w:val="32"/>
        </w:rPr>
        <w:t>、差旅费</w:t>
      </w:r>
      <w:r>
        <w:rPr>
          <w:rFonts w:hint="eastAsia" w:ascii="仿宋" w:hAnsi="仿宋" w:eastAsia="仿宋" w:cs="仿宋"/>
          <w:sz w:val="32"/>
          <w:szCs w:val="32"/>
          <w:lang w:val="en-US" w:eastAsia="zh-CN"/>
        </w:rPr>
        <w:t>0.81万元</w:t>
      </w:r>
      <w:r>
        <w:rPr>
          <w:rFonts w:hint="eastAsia" w:ascii="仿宋" w:hAnsi="仿宋" w:eastAsia="仿宋" w:cs="仿宋"/>
          <w:sz w:val="32"/>
          <w:szCs w:val="32"/>
        </w:rPr>
        <w:t>、劳务费</w:t>
      </w:r>
      <w:r>
        <w:rPr>
          <w:rFonts w:hint="eastAsia" w:ascii="仿宋" w:hAnsi="仿宋" w:eastAsia="仿宋" w:cs="仿宋"/>
          <w:sz w:val="32"/>
          <w:szCs w:val="32"/>
          <w:lang w:val="en-US" w:eastAsia="zh-CN"/>
        </w:rPr>
        <w:t>9.45万元</w:t>
      </w:r>
      <w:r>
        <w:rPr>
          <w:rFonts w:hint="eastAsia" w:ascii="仿宋" w:hAnsi="仿宋" w:eastAsia="仿宋" w:cs="仿宋"/>
          <w:sz w:val="32"/>
          <w:szCs w:val="32"/>
        </w:rPr>
        <w:t>、其他交通费用</w:t>
      </w:r>
      <w:r>
        <w:rPr>
          <w:rFonts w:hint="eastAsia" w:ascii="仿宋" w:hAnsi="仿宋" w:eastAsia="仿宋" w:cs="仿宋"/>
          <w:sz w:val="32"/>
          <w:szCs w:val="32"/>
          <w:lang w:val="en-US" w:eastAsia="zh-CN"/>
        </w:rPr>
        <w:t>2.26万元</w:t>
      </w:r>
      <w:r>
        <w:rPr>
          <w:rFonts w:hint="eastAsia" w:ascii="仿宋" w:hAnsi="仿宋" w:eastAsia="仿宋" w:cs="仿宋"/>
          <w:sz w:val="32"/>
          <w:szCs w:val="32"/>
        </w:rPr>
        <w:t>。</w:t>
      </w:r>
    </w:p>
    <w:p w14:paraId="3C72D5D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w:t>
      </w:r>
      <w:r>
        <w:rPr>
          <w:rFonts w:hint="eastAsia" w:ascii="仿宋" w:hAnsi="仿宋" w:eastAsia="仿宋" w:cs="仿宋"/>
          <w:sz w:val="32"/>
          <w:szCs w:val="32"/>
          <w:lang w:eastAsia="zh-CN"/>
        </w:rPr>
        <w:t>三</w:t>
      </w:r>
      <w:r>
        <w:rPr>
          <w:rFonts w:hint="eastAsia" w:ascii="仿宋" w:hAnsi="仿宋" w:eastAsia="仿宋" w:cs="仿宋"/>
          <w:sz w:val="32"/>
          <w:szCs w:val="32"/>
        </w:rPr>
        <w:t>）对个人和家庭的补助</w:t>
      </w:r>
      <w:r>
        <w:rPr>
          <w:rFonts w:hint="eastAsia" w:ascii="仿宋" w:hAnsi="仿宋" w:eastAsia="仿宋" w:cs="仿宋"/>
          <w:sz w:val="32"/>
          <w:szCs w:val="32"/>
          <w:lang w:val="en-US" w:eastAsia="zh-CN"/>
        </w:rPr>
        <w:t>520.70</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rPr>
        <w:t>主要包括：生活补助</w:t>
      </w:r>
      <w:r>
        <w:rPr>
          <w:rFonts w:hint="eastAsia" w:ascii="仿宋" w:hAnsi="仿宋" w:eastAsia="仿宋" w:cs="仿宋"/>
          <w:sz w:val="32"/>
          <w:szCs w:val="32"/>
          <w:lang w:val="en-US" w:eastAsia="zh-CN"/>
        </w:rPr>
        <w:t>108.60万元</w:t>
      </w:r>
      <w:r>
        <w:rPr>
          <w:rFonts w:hint="eastAsia" w:ascii="仿宋" w:hAnsi="仿宋" w:eastAsia="仿宋" w:cs="仿宋"/>
          <w:sz w:val="32"/>
          <w:szCs w:val="32"/>
          <w:lang w:eastAsia="zh-CN"/>
        </w:rPr>
        <w:t>、医疗费补助</w:t>
      </w:r>
      <w:r>
        <w:rPr>
          <w:rFonts w:hint="eastAsia" w:ascii="仿宋" w:hAnsi="仿宋" w:eastAsia="仿宋" w:cs="仿宋"/>
          <w:sz w:val="32"/>
          <w:szCs w:val="32"/>
          <w:lang w:val="en-US" w:eastAsia="zh-CN"/>
        </w:rPr>
        <w:t>410.10万元</w:t>
      </w:r>
      <w:r>
        <w:rPr>
          <w:rFonts w:hint="eastAsia" w:ascii="仿宋" w:hAnsi="仿宋" w:eastAsia="仿宋" w:cs="仿宋"/>
          <w:sz w:val="32"/>
          <w:szCs w:val="32"/>
          <w:lang w:eastAsia="zh-CN"/>
        </w:rPr>
        <w:t>、其他对个人和家庭的补助</w:t>
      </w:r>
      <w:r>
        <w:rPr>
          <w:rFonts w:hint="eastAsia" w:ascii="仿宋" w:hAnsi="仿宋" w:eastAsia="仿宋" w:cs="仿宋"/>
          <w:sz w:val="32"/>
          <w:szCs w:val="32"/>
          <w:lang w:val="en-US" w:eastAsia="zh-CN"/>
        </w:rPr>
        <w:t>2万元</w:t>
      </w:r>
      <w:r>
        <w:rPr>
          <w:rFonts w:hint="eastAsia" w:ascii="仿宋" w:hAnsi="仿宋" w:eastAsia="仿宋" w:cs="仿宋"/>
          <w:sz w:val="32"/>
          <w:szCs w:val="32"/>
          <w:lang w:eastAsia="zh-CN"/>
        </w:rPr>
        <w:t>。</w:t>
      </w:r>
    </w:p>
    <w:p w14:paraId="2F39118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（四）资本性支出10.87万元。</w:t>
      </w:r>
      <w:r>
        <w:rPr>
          <w:rFonts w:hint="eastAsia" w:ascii="仿宋" w:hAnsi="仿宋" w:eastAsia="仿宋" w:cs="仿宋"/>
          <w:sz w:val="32"/>
          <w:szCs w:val="32"/>
        </w:rPr>
        <w:t>主要包括：办公设备购置</w:t>
      </w:r>
      <w:r>
        <w:rPr>
          <w:rFonts w:hint="eastAsia" w:ascii="仿宋" w:hAnsi="仿宋" w:eastAsia="仿宋" w:cs="仿宋"/>
          <w:sz w:val="32"/>
          <w:szCs w:val="32"/>
          <w:lang w:val="en-US" w:eastAsia="zh-CN"/>
        </w:rPr>
        <w:t>8.25万元</w:t>
      </w:r>
      <w:r>
        <w:rPr>
          <w:rFonts w:hint="eastAsia" w:ascii="仿宋" w:hAnsi="仿宋" w:eastAsia="仿宋" w:cs="仿宋"/>
          <w:sz w:val="32"/>
          <w:szCs w:val="32"/>
          <w:lang w:eastAsia="zh-CN"/>
        </w:rPr>
        <w:t>、信息网络及软件购置更新</w:t>
      </w:r>
      <w:r>
        <w:rPr>
          <w:rFonts w:hint="eastAsia" w:ascii="仿宋" w:hAnsi="仿宋" w:eastAsia="仿宋" w:cs="仿宋"/>
          <w:sz w:val="32"/>
          <w:szCs w:val="32"/>
          <w:lang w:val="en-US" w:eastAsia="zh-CN"/>
        </w:rPr>
        <w:t>2.62万元</w:t>
      </w:r>
      <w:r>
        <w:rPr>
          <w:rFonts w:hint="eastAsia" w:ascii="仿宋" w:hAnsi="仿宋" w:eastAsia="仿宋" w:cs="仿宋"/>
          <w:sz w:val="32"/>
          <w:szCs w:val="32"/>
          <w:lang w:eastAsia="zh-CN"/>
        </w:rPr>
        <w:t>。</w:t>
      </w:r>
    </w:p>
    <w:p w14:paraId="5060738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八、财政拨款“三公”经费支出决算情况说明</w:t>
      </w:r>
    </w:p>
    <w:p w14:paraId="1FC948A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（一）财政拨款“三公”经费支出总体情况说明。</w:t>
      </w:r>
    </w:p>
    <w:p w14:paraId="05C6485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呼和浩特市民政局综合保障中心2023年度财政拨款“三公”经费全年预算 0.00万元，支出决算 0.00万元，完成预算的</w:t>
      </w:r>
      <w:r>
        <w:rPr>
          <w:rFonts w:hint="eastAsia" w:ascii="仿宋" w:hAnsi="仿宋" w:eastAsia="仿宋" w:cs="仿宋"/>
          <w:sz w:val="32"/>
          <w:szCs w:val="32"/>
          <w:lang w:eastAsia="zh-CN"/>
        </w:rPr>
        <w:t>0</w:t>
      </w:r>
      <w:r>
        <w:rPr>
          <w:rFonts w:hint="eastAsia" w:ascii="仿宋" w:hAnsi="仿宋" w:eastAsia="仿宋" w:cs="仿宋"/>
          <w:sz w:val="32"/>
          <w:szCs w:val="32"/>
        </w:rPr>
        <w:t>%。其中：因公出国（境）费全年预算 0.00万元，支出决算 0.00万元，完成预算的</w:t>
      </w:r>
      <w:r>
        <w:rPr>
          <w:rFonts w:hint="eastAsia" w:ascii="仿宋" w:hAnsi="仿宋" w:eastAsia="仿宋" w:cs="仿宋"/>
          <w:sz w:val="32"/>
          <w:szCs w:val="32"/>
          <w:lang w:eastAsia="zh-CN"/>
        </w:rPr>
        <w:t>0</w:t>
      </w:r>
      <w:r>
        <w:rPr>
          <w:rFonts w:hint="eastAsia" w:ascii="仿宋" w:hAnsi="仿宋" w:eastAsia="仿宋" w:cs="仿宋"/>
          <w:sz w:val="32"/>
          <w:szCs w:val="32"/>
        </w:rPr>
        <w:t>%；公务用车购置及运行维护费全年预算 0.00万元，支出决算 0.00万元，完成预算的</w:t>
      </w:r>
      <w:r>
        <w:rPr>
          <w:rFonts w:hint="eastAsia" w:ascii="仿宋" w:hAnsi="仿宋" w:eastAsia="仿宋" w:cs="仿宋"/>
          <w:sz w:val="32"/>
          <w:szCs w:val="32"/>
          <w:lang w:eastAsia="zh-CN"/>
        </w:rPr>
        <w:t>0</w:t>
      </w:r>
      <w:r>
        <w:rPr>
          <w:rFonts w:hint="eastAsia" w:ascii="仿宋" w:hAnsi="仿宋" w:eastAsia="仿宋" w:cs="仿宋"/>
          <w:sz w:val="32"/>
          <w:szCs w:val="32"/>
        </w:rPr>
        <w:t xml:space="preserve">%；公务接待费全年预算 0.00万元，支出决算 </w:t>
      </w:r>
      <w:r>
        <w:rPr>
          <w:rFonts w:hint="eastAsia" w:ascii="仿宋" w:hAnsi="仿宋" w:eastAsia="仿宋" w:cs="仿宋"/>
          <w:sz w:val="32"/>
          <w:szCs w:val="32"/>
          <w:lang w:val="en-US" w:eastAsia="zh-CN"/>
        </w:rPr>
        <w:t>0</w:t>
      </w:r>
      <w:r>
        <w:rPr>
          <w:rFonts w:hint="eastAsia" w:ascii="仿宋" w:hAnsi="仿宋" w:eastAsia="仿宋" w:cs="仿宋"/>
          <w:sz w:val="32"/>
          <w:szCs w:val="32"/>
        </w:rPr>
        <w:t>万元，完成预算的</w:t>
      </w:r>
      <w:r>
        <w:rPr>
          <w:rFonts w:hint="eastAsia" w:ascii="仿宋" w:hAnsi="仿宋" w:eastAsia="仿宋" w:cs="仿宋"/>
          <w:sz w:val="32"/>
          <w:szCs w:val="32"/>
          <w:lang w:eastAsia="zh-CN"/>
        </w:rPr>
        <w:t>0</w:t>
      </w:r>
      <w:r>
        <w:rPr>
          <w:rFonts w:hint="eastAsia" w:ascii="仿宋" w:hAnsi="仿宋" w:eastAsia="仿宋" w:cs="仿宋"/>
          <w:sz w:val="32"/>
          <w:szCs w:val="32"/>
        </w:rPr>
        <w:t>%。2023年度一般公共预算财政拨款“三公”经费支出决算与预算差异原因：不存在此项内容。</w:t>
      </w:r>
    </w:p>
    <w:p w14:paraId="3886989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（二）财政拨款“三公”经费支出具体情况说明。</w:t>
      </w:r>
    </w:p>
    <w:p w14:paraId="1015A1B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呼和浩特市民政局综合保障中心 2023年度财政拨款“三公”经费支出 0.00万元。因公出国（境）费支出 0.00万元，占</w:t>
      </w:r>
      <w:r>
        <w:rPr>
          <w:rFonts w:hint="eastAsia" w:ascii="仿宋" w:hAnsi="仿宋" w:eastAsia="仿宋" w:cs="仿宋"/>
          <w:sz w:val="32"/>
          <w:szCs w:val="32"/>
          <w:lang w:eastAsia="zh-CN"/>
        </w:rPr>
        <w:t>0</w:t>
      </w:r>
      <w:r>
        <w:rPr>
          <w:rFonts w:hint="eastAsia" w:ascii="仿宋" w:hAnsi="仿宋" w:eastAsia="仿宋" w:cs="仿宋"/>
          <w:sz w:val="32"/>
          <w:szCs w:val="32"/>
        </w:rPr>
        <w:t>%；公务用车购置及运行维护费支出 0.00万元，占</w:t>
      </w:r>
      <w:r>
        <w:rPr>
          <w:rFonts w:hint="eastAsia" w:ascii="仿宋" w:hAnsi="仿宋" w:eastAsia="仿宋" w:cs="仿宋"/>
          <w:sz w:val="32"/>
          <w:szCs w:val="32"/>
          <w:lang w:eastAsia="zh-CN"/>
        </w:rPr>
        <w:t>0</w:t>
      </w:r>
      <w:r>
        <w:rPr>
          <w:rFonts w:hint="eastAsia" w:ascii="仿宋" w:hAnsi="仿宋" w:eastAsia="仿宋" w:cs="仿宋"/>
          <w:sz w:val="32"/>
          <w:szCs w:val="32"/>
        </w:rPr>
        <w:t>%；公务接待费支出 0.00万元，占</w:t>
      </w:r>
      <w:r>
        <w:rPr>
          <w:rFonts w:hint="eastAsia" w:ascii="仿宋" w:hAnsi="仿宋" w:eastAsia="仿宋" w:cs="仿宋"/>
          <w:sz w:val="32"/>
          <w:szCs w:val="32"/>
          <w:lang w:eastAsia="zh-CN"/>
        </w:rPr>
        <w:t>0</w:t>
      </w:r>
      <w:r>
        <w:rPr>
          <w:rFonts w:hint="eastAsia" w:ascii="仿宋" w:hAnsi="仿宋" w:eastAsia="仿宋" w:cs="仿宋"/>
          <w:sz w:val="32"/>
          <w:szCs w:val="32"/>
        </w:rPr>
        <w:t>%。不存在此项内容。</w:t>
      </w:r>
    </w:p>
    <w:p w14:paraId="49031ED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1.因公出国（境）费支出 0.00万元，全年出国（境）团组0 个，累计0 人次。与上年决算相比，增加（减少） 0.00万元，增长（减少）</w:t>
      </w:r>
      <w:r>
        <w:rPr>
          <w:rFonts w:hint="eastAsia" w:ascii="仿宋" w:hAnsi="仿宋" w:eastAsia="仿宋" w:cs="仿宋"/>
          <w:sz w:val="32"/>
          <w:szCs w:val="32"/>
          <w:lang w:eastAsia="zh-CN"/>
        </w:rPr>
        <w:t>0</w:t>
      </w:r>
      <w:r>
        <w:rPr>
          <w:rFonts w:hint="eastAsia" w:ascii="仿宋" w:hAnsi="仿宋" w:eastAsia="仿宋" w:cs="仿宋"/>
          <w:sz w:val="32"/>
          <w:szCs w:val="32"/>
        </w:rPr>
        <w:t>%，变动原因：不存在此项内容。</w:t>
      </w:r>
    </w:p>
    <w:p w14:paraId="1D23FC49">
      <w:pPr>
        <w:keepNext w:val="0"/>
        <w:keepLines w:val="0"/>
        <w:pageBreakBefore w:val="0"/>
        <w:widowControl w:val="0"/>
        <w:kinsoku/>
        <w:wordWrap/>
        <w:overflowPunct/>
        <w:topLinePunct w:val="0"/>
        <w:autoSpaceDE/>
        <w:autoSpaceDN/>
        <w:bidi w:val="0"/>
        <w:adjustRightInd/>
        <w:snapToGrid w:val="0"/>
        <w:spacing w:line="580" w:lineRule="exact"/>
        <w:ind w:left="638" w:leftChars="304" w:firstLine="0" w:firstLineChars="0"/>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rPr>
        <w:t>.公务用车购置及运行维护费支出 0.00万元。其中</w:t>
      </w:r>
      <w:r>
        <w:rPr>
          <w:rFonts w:hint="eastAsia" w:ascii="仿宋" w:hAnsi="仿宋" w:eastAsia="仿宋" w:cs="仿宋"/>
          <w:sz w:val="32"/>
          <w:szCs w:val="32"/>
          <w:lang w:eastAsia="zh-CN"/>
        </w:rPr>
        <w:t>：</w:t>
      </w:r>
    </w:p>
    <w:p w14:paraId="3563B18C">
      <w:pPr>
        <w:keepNext w:val="0"/>
        <w:keepLines w:val="0"/>
        <w:pageBreakBefore w:val="0"/>
        <w:widowControl w:val="0"/>
        <w:kinsoku/>
        <w:wordWrap/>
        <w:overflowPunct/>
        <w:topLinePunct w:val="0"/>
        <w:autoSpaceDE/>
        <w:autoSpaceDN/>
        <w:bidi w:val="0"/>
        <w:adjustRightInd/>
        <w:snapToGrid w:val="0"/>
        <w:spacing w:line="580" w:lineRule="exact"/>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（1）公务用车购置支出 0.00万元。本年度使用财政拨款购置公务用车0 辆，开支内容：</w:t>
      </w:r>
      <w:r>
        <w:rPr>
          <w:rFonts w:hint="eastAsia" w:ascii="仿宋" w:hAnsi="仿宋" w:eastAsia="仿宋" w:cs="仿宋"/>
          <w:sz w:val="32"/>
          <w:szCs w:val="32"/>
          <w:lang w:eastAsia="zh-CN"/>
        </w:rPr>
        <w:t>无。</w:t>
      </w:r>
      <w:r>
        <w:rPr>
          <w:rFonts w:hint="eastAsia" w:ascii="仿宋" w:hAnsi="仿宋" w:eastAsia="仿宋" w:cs="仿宋"/>
          <w:sz w:val="32"/>
          <w:szCs w:val="32"/>
        </w:rPr>
        <w:t>与上年决算相比，增加（减少） 0.00万元，增长（减少）</w:t>
      </w:r>
      <w:r>
        <w:rPr>
          <w:rFonts w:hint="eastAsia" w:ascii="仿宋" w:hAnsi="仿宋" w:eastAsia="仿宋" w:cs="仿宋"/>
          <w:sz w:val="32"/>
          <w:szCs w:val="32"/>
          <w:lang w:eastAsia="zh-CN"/>
        </w:rPr>
        <w:t>0</w:t>
      </w:r>
      <w:r>
        <w:rPr>
          <w:rFonts w:hint="eastAsia" w:ascii="仿宋" w:hAnsi="仿宋" w:eastAsia="仿宋" w:cs="仿宋"/>
          <w:sz w:val="32"/>
          <w:szCs w:val="32"/>
        </w:rPr>
        <w:t>%，变动原因：不存在此项内容。</w:t>
      </w:r>
    </w:p>
    <w:p w14:paraId="4316B31C">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（2）务用车运行维护费支出 0.00万元。公务用车运行维护费主要用于按规定保留的公务用车的燃料费、维修费、过桥过路费、保险费、安全奖励费用等支出。截至2023年12月31日，使用财政拨款开支的公务用车保有量为0 辆。与上年决算相比，增加（减少） 0.00万元，增长（减少）</w:t>
      </w:r>
      <w:r>
        <w:rPr>
          <w:rFonts w:hint="eastAsia" w:ascii="仿宋" w:hAnsi="仿宋" w:eastAsia="仿宋" w:cs="仿宋"/>
          <w:sz w:val="32"/>
          <w:szCs w:val="32"/>
          <w:lang w:eastAsia="zh-CN"/>
        </w:rPr>
        <w:t>0</w:t>
      </w:r>
      <w:r>
        <w:rPr>
          <w:rFonts w:hint="eastAsia" w:ascii="仿宋" w:hAnsi="仿宋" w:eastAsia="仿宋" w:cs="仿宋"/>
          <w:sz w:val="32"/>
          <w:szCs w:val="32"/>
        </w:rPr>
        <w:t>%，变动原因：不存在此项内容。</w:t>
      </w:r>
    </w:p>
    <w:p w14:paraId="3E34D486">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rPr>
      </w:pPr>
      <w:r>
        <w:rPr>
          <w:rFonts w:hint="eastAsia" w:ascii="仿宋" w:hAnsi="仿宋" w:eastAsia="仿宋" w:cs="仿宋"/>
          <w:sz w:val="32"/>
          <w:szCs w:val="32"/>
        </w:rPr>
        <w:t>3.公务接待费支出 0.00万元。其中：国内公务接待支出 0.00万元，接待0 批次，0 人次，开支内容：不存在此项内容。；国（境）外公务接待支出 0.00万元，接待0 批次，0 人次，开支内容：不存在此项内容。与上年决算相比，增加（减少） 0.00万元，增长（减少）</w:t>
      </w:r>
      <w:r>
        <w:rPr>
          <w:rFonts w:hint="eastAsia" w:ascii="仿宋" w:hAnsi="仿宋" w:eastAsia="仿宋" w:cs="仿宋"/>
          <w:sz w:val="32"/>
          <w:szCs w:val="32"/>
          <w:lang w:eastAsia="zh-CN"/>
        </w:rPr>
        <w:t>0</w:t>
      </w:r>
      <w:r>
        <w:rPr>
          <w:rFonts w:hint="eastAsia" w:ascii="仿宋" w:hAnsi="仿宋" w:eastAsia="仿宋" w:cs="仿宋"/>
          <w:sz w:val="32"/>
          <w:szCs w:val="32"/>
        </w:rPr>
        <w:t>%，变动原因：不存在此项内容。</w:t>
      </w:r>
    </w:p>
    <w:p w14:paraId="4B40ED86">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九、政府性基金预算财政拨款支出决算情况说明</w:t>
      </w:r>
    </w:p>
    <w:p w14:paraId="73D6412A">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 w:hAnsi="仿宋" w:eastAsia="仿宋" w:cs="仿宋"/>
          <w:sz w:val="32"/>
          <w:szCs w:val="32"/>
        </w:rPr>
      </w:pPr>
      <w:r>
        <w:rPr>
          <w:rFonts w:hint="eastAsia" w:ascii="黑体" w:hAnsi="黑体" w:eastAsia="黑体" w:cs="黑体"/>
          <w:sz w:val="32"/>
          <w:szCs w:val="32"/>
        </w:rPr>
        <w:t xml:space="preserve">  </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呼和浩特市民政局综合保障中心 2023年度政府性基金预算财政拨款支出决算 0.00万元。与上年决算相比，增加（减少） 0.00万元，增长（减少）</w:t>
      </w:r>
      <w:r>
        <w:rPr>
          <w:rFonts w:hint="eastAsia" w:ascii="仿宋" w:hAnsi="仿宋" w:eastAsia="仿宋" w:cs="仿宋"/>
          <w:sz w:val="32"/>
          <w:szCs w:val="32"/>
          <w:lang w:eastAsia="zh-CN"/>
        </w:rPr>
        <w:t>0</w:t>
      </w:r>
      <w:r>
        <w:rPr>
          <w:rFonts w:hint="eastAsia" w:ascii="仿宋" w:hAnsi="仿宋" w:eastAsia="仿宋" w:cs="仿宋"/>
          <w:sz w:val="32"/>
          <w:szCs w:val="32"/>
        </w:rPr>
        <w:t>%，变动原因：不存在此项内容。</w:t>
      </w:r>
    </w:p>
    <w:p w14:paraId="519F0CE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十、国有资本经营预算财政拨款支出决算情况说明</w:t>
      </w:r>
    </w:p>
    <w:p w14:paraId="577AD82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呼和浩特市民政局综合保障中心 2023年度国有资本经营预算财政拨款支出决算 0.00万元。与上年决算相比，增加（减少） 0.00万元，增长（减少）</w:t>
      </w:r>
      <w:r>
        <w:rPr>
          <w:rFonts w:hint="eastAsia" w:ascii="仿宋" w:hAnsi="仿宋" w:eastAsia="仿宋" w:cs="仿宋"/>
          <w:sz w:val="32"/>
          <w:szCs w:val="32"/>
          <w:lang w:eastAsia="zh-CN"/>
        </w:rPr>
        <w:t>0</w:t>
      </w:r>
      <w:r>
        <w:rPr>
          <w:rFonts w:hint="eastAsia" w:ascii="仿宋" w:hAnsi="仿宋" w:eastAsia="仿宋" w:cs="仿宋"/>
          <w:sz w:val="32"/>
          <w:szCs w:val="32"/>
        </w:rPr>
        <w:t>%，变动原因：不存在此项内容。</w:t>
      </w:r>
    </w:p>
    <w:p w14:paraId="13CB80E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十一、机构运行经费支出决算情况说明</w:t>
      </w:r>
    </w:p>
    <w:p w14:paraId="498A0E8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呼和浩特市民政局综合保障中心 2023年度机构运行经费支出决算 16.05万元。比上年决算相比减少 0.95万元，减少 5.60%，变动原因：较上年预算减少</w:t>
      </w:r>
      <w:r>
        <w:rPr>
          <w:rFonts w:hint="eastAsia" w:ascii="仿宋" w:hAnsi="仿宋" w:eastAsia="仿宋" w:cs="仿宋"/>
          <w:sz w:val="32"/>
          <w:szCs w:val="32"/>
          <w:lang w:val="en-US" w:eastAsia="zh-CN"/>
        </w:rPr>
        <w:t>1</w:t>
      </w:r>
      <w:r>
        <w:rPr>
          <w:rFonts w:hint="eastAsia" w:ascii="仿宋" w:hAnsi="仿宋" w:eastAsia="仿宋" w:cs="仿宋"/>
          <w:sz w:val="32"/>
          <w:szCs w:val="32"/>
        </w:rPr>
        <w:t>人。</w:t>
      </w:r>
    </w:p>
    <w:p w14:paraId="5413FF2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十二、政府采购支出决算情况说明</w:t>
      </w:r>
    </w:p>
    <w:p w14:paraId="610C612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rPr>
        <w:t>呼和浩特市民政局综合保障中心 2023年度政府采购支出总额</w:t>
      </w:r>
      <w:r>
        <w:rPr>
          <w:rFonts w:hint="eastAsia" w:ascii="仿宋" w:hAnsi="仿宋" w:eastAsia="仿宋" w:cs="仿宋"/>
          <w:sz w:val="32"/>
          <w:szCs w:val="32"/>
          <w:u w:val="single"/>
        </w:rPr>
        <w:t xml:space="preserve"> 10.39</w:t>
      </w:r>
      <w:r>
        <w:rPr>
          <w:rFonts w:hint="eastAsia" w:ascii="仿宋" w:hAnsi="仿宋" w:eastAsia="仿宋" w:cs="仿宋"/>
          <w:sz w:val="32"/>
          <w:szCs w:val="32"/>
        </w:rPr>
        <w:t>万元，其中：政府采购货物支出</w:t>
      </w:r>
      <w:r>
        <w:rPr>
          <w:rFonts w:hint="eastAsia" w:ascii="仿宋" w:hAnsi="仿宋" w:eastAsia="仿宋" w:cs="仿宋"/>
          <w:sz w:val="32"/>
          <w:szCs w:val="32"/>
          <w:u w:val="single"/>
        </w:rPr>
        <w:t xml:space="preserve"> 8.69</w:t>
      </w:r>
      <w:r>
        <w:rPr>
          <w:rFonts w:hint="eastAsia" w:ascii="仿宋" w:hAnsi="仿宋" w:eastAsia="仿宋" w:cs="仿宋"/>
          <w:sz w:val="32"/>
          <w:szCs w:val="32"/>
        </w:rPr>
        <w:t xml:space="preserve">万元、政府采购工程支出 </w:t>
      </w:r>
      <w:r>
        <w:rPr>
          <w:rFonts w:hint="eastAsia" w:ascii="仿宋" w:hAnsi="仿宋" w:eastAsia="仿宋" w:cs="仿宋"/>
          <w:sz w:val="32"/>
          <w:szCs w:val="32"/>
          <w:u w:val="single"/>
        </w:rPr>
        <w:t>0.00</w:t>
      </w:r>
      <w:r>
        <w:rPr>
          <w:rFonts w:hint="eastAsia" w:ascii="仿宋" w:hAnsi="仿宋" w:eastAsia="仿宋" w:cs="仿宋"/>
          <w:sz w:val="32"/>
          <w:szCs w:val="32"/>
        </w:rPr>
        <w:t>万元、政府采购服务支出</w:t>
      </w:r>
      <w:r>
        <w:rPr>
          <w:rFonts w:hint="eastAsia" w:ascii="仿宋" w:hAnsi="仿宋" w:eastAsia="仿宋" w:cs="仿宋"/>
          <w:sz w:val="32"/>
          <w:szCs w:val="32"/>
          <w:u w:val="single"/>
        </w:rPr>
        <w:t xml:space="preserve"> 1.71</w:t>
      </w:r>
      <w:r>
        <w:rPr>
          <w:rFonts w:hint="eastAsia" w:ascii="仿宋" w:hAnsi="仿宋" w:eastAsia="仿宋" w:cs="仿宋"/>
          <w:sz w:val="32"/>
          <w:szCs w:val="32"/>
        </w:rPr>
        <w:t>万元。政府采购授</w:t>
      </w:r>
      <w:r>
        <w:rPr>
          <w:rFonts w:hint="eastAsia" w:ascii="仿宋" w:hAnsi="仿宋" w:eastAsia="仿宋" w:cs="仿宋"/>
          <w:sz w:val="32"/>
          <w:szCs w:val="32"/>
          <w:highlight w:val="none"/>
        </w:rPr>
        <w:t xml:space="preserve">予中小企业合同金额 </w:t>
      </w:r>
      <w:r>
        <w:rPr>
          <w:rFonts w:hint="eastAsia" w:ascii="仿宋" w:hAnsi="仿宋" w:eastAsia="仿宋" w:cs="仿宋"/>
          <w:sz w:val="32"/>
          <w:szCs w:val="32"/>
          <w:highlight w:val="none"/>
          <w:u w:val="single"/>
        </w:rPr>
        <w:t>0.17</w:t>
      </w:r>
      <w:r>
        <w:rPr>
          <w:rFonts w:hint="eastAsia" w:ascii="仿宋" w:hAnsi="仿宋" w:eastAsia="仿宋" w:cs="仿宋"/>
          <w:sz w:val="32"/>
          <w:szCs w:val="32"/>
          <w:highlight w:val="none"/>
        </w:rPr>
        <w:t>万元，占政府采购支出总额的</w:t>
      </w:r>
      <w:r>
        <w:rPr>
          <w:rFonts w:hint="eastAsia" w:ascii="仿宋" w:hAnsi="仿宋" w:eastAsia="仿宋" w:cs="仿宋"/>
          <w:sz w:val="32"/>
          <w:szCs w:val="32"/>
          <w:highlight w:val="none"/>
          <w:u w:val="single"/>
        </w:rPr>
        <w:t>1.64</w:t>
      </w:r>
      <w:r>
        <w:rPr>
          <w:rFonts w:hint="eastAsia" w:ascii="仿宋" w:hAnsi="仿宋" w:eastAsia="仿宋" w:cs="仿宋"/>
          <w:sz w:val="32"/>
          <w:szCs w:val="32"/>
          <w:highlight w:val="none"/>
        </w:rPr>
        <w:t>%，其中：授予小微企业合同金额</w:t>
      </w:r>
      <w:r>
        <w:rPr>
          <w:rFonts w:hint="eastAsia" w:ascii="仿宋" w:hAnsi="仿宋" w:eastAsia="仿宋" w:cs="仿宋"/>
          <w:sz w:val="32"/>
          <w:szCs w:val="32"/>
          <w:highlight w:val="none"/>
          <w:u w:val="single"/>
          <w:lang w:val="en-US" w:eastAsia="zh-CN"/>
        </w:rPr>
        <w:t>0</w:t>
      </w:r>
      <w:r>
        <w:rPr>
          <w:rFonts w:hint="eastAsia" w:ascii="仿宋" w:hAnsi="仿宋" w:eastAsia="仿宋" w:cs="仿宋"/>
          <w:sz w:val="32"/>
          <w:szCs w:val="32"/>
          <w:highlight w:val="none"/>
        </w:rPr>
        <w:t>万元，占政府采购支出总额的</w:t>
      </w:r>
      <w:r>
        <w:rPr>
          <w:rFonts w:hint="eastAsia" w:ascii="仿宋" w:hAnsi="仿宋" w:eastAsia="仿宋" w:cs="仿宋"/>
          <w:sz w:val="32"/>
          <w:szCs w:val="32"/>
          <w:highlight w:val="none"/>
          <w:u w:val="single"/>
          <w:lang w:val="en-US" w:eastAsia="zh-CN"/>
        </w:rPr>
        <w:t>0</w:t>
      </w:r>
      <w:r>
        <w:rPr>
          <w:rFonts w:hint="eastAsia" w:ascii="仿宋" w:hAnsi="仿宋" w:eastAsia="仿宋" w:cs="仿宋"/>
          <w:sz w:val="32"/>
          <w:szCs w:val="32"/>
          <w:highlight w:val="none"/>
        </w:rPr>
        <w:t>%；货物采购授予中小企业合同金额占货物支出金额的</w:t>
      </w:r>
      <w:r>
        <w:rPr>
          <w:rFonts w:hint="eastAsia" w:ascii="仿宋" w:hAnsi="仿宋" w:eastAsia="仿宋" w:cs="仿宋"/>
          <w:sz w:val="32"/>
          <w:szCs w:val="32"/>
          <w:highlight w:val="none"/>
          <w:u w:val="single"/>
        </w:rPr>
        <w:t>1.96</w:t>
      </w:r>
      <w:r>
        <w:rPr>
          <w:rFonts w:hint="eastAsia" w:ascii="仿宋" w:hAnsi="仿宋" w:eastAsia="仿宋" w:cs="仿宋"/>
          <w:sz w:val="32"/>
          <w:szCs w:val="32"/>
          <w:highlight w:val="none"/>
        </w:rPr>
        <w:t>%，工程采购授予中小企业合同金额占工程支出金额的0%，服务采购授予中小企业合同金额占服务支出金额的</w:t>
      </w:r>
      <w:r>
        <w:rPr>
          <w:rFonts w:hint="eastAsia" w:ascii="仿宋" w:hAnsi="仿宋" w:eastAsia="仿宋" w:cs="仿宋"/>
          <w:sz w:val="32"/>
          <w:szCs w:val="32"/>
          <w:highlight w:val="none"/>
          <w:u w:val="single"/>
        </w:rPr>
        <w:t>9.94</w:t>
      </w:r>
      <w:r>
        <w:rPr>
          <w:rFonts w:hint="eastAsia" w:ascii="仿宋" w:hAnsi="仿宋" w:eastAsia="仿宋" w:cs="仿宋"/>
          <w:sz w:val="32"/>
          <w:szCs w:val="32"/>
          <w:highlight w:val="none"/>
        </w:rPr>
        <w:t>%。</w:t>
      </w:r>
    </w:p>
    <w:p w14:paraId="606AD2D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十三、国有资产占用情况说明</w:t>
      </w:r>
    </w:p>
    <w:p w14:paraId="17ECC56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呼和浩特市民政局综合保障中心 截至2023年12月31日，本部门（单位）共有车辆 0辆，其中：副部（省）级及以上领导用车0 辆、主要负责人用车 0辆、机要通信用车 0辆、应急保障用车 0辆、执法执勤用车 0辆、特种专业技术用车 0辆、离退休干部服务用车 0辆，其他用车 0辆；单价100万元（含）以上的设备（不含车辆） 0台（套）。</w:t>
      </w:r>
    </w:p>
    <w:p w14:paraId="1ED53C0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十四、预算绩效情况说明</w:t>
      </w:r>
    </w:p>
    <w:p w14:paraId="60B8E65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（一）预算绩效管理工作开展情况。</w:t>
      </w:r>
    </w:p>
    <w:p w14:paraId="7DD1FC0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呼和浩特市民政局综合保障中心根据预算绩效管理要求组织对2023年一般公共预算项目支出全面开展绩效自评，其中一级项目</w:t>
      </w:r>
      <w:r>
        <w:rPr>
          <w:rFonts w:hint="eastAsia" w:ascii="仿宋" w:hAnsi="仿宋" w:eastAsia="仿宋" w:cs="仿宋"/>
          <w:sz w:val="32"/>
          <w:szCs w:val="32"/>
          <w:u w:val="single"/>
        </w:rPr>
        <w:t>0</w:t>
      </w:r>
      <w:r>
        <w:rPr>
          <w:rFonts w:hint="eastAsia" w:ascii="仿宋" w:hAnsi="仿宋" w:eastAsia="仿宋" w:cs="仿宋"/>
          <w:sz w:val="32"/>
          <w:szCs w:val="32"/>
        </w:rPr>
        <w:t>个，二级项目</w:t>
      </w:r>
      <w:r>
        <w:rPr>
          <w:rFonts w:hint="eastAsia" w:ascii="仿宋" w:hAnsi="仿宋" w:eastAsia="仿宋" w:cs="仿宋"/>
          <w:sz w:val="32"/>
          <w:szCs w:val="32"/>
          <w:u w:val="single"/>
        </w:rPr>
        <w:t>8</w:t>
      </w:r>
      <w:r>
        <w:rPr>
          <w:rFonts w:hint="eastAsia" w:ascii="仿宋" w:hAnsi="仿宋" w:eastAsia="仿宋" w:cs="仿宋"/>
          <w:sz w:val="32"/>
          <w:szCs w:val="32"/>
        </w:rPr>
        <w:t>个，共涉及资金</w:t>
      </w:r>
      <w:r>
        <w:rPr>
          <w:rFonts w:hint="eastAsia" w:ascii="仿宋" w:hAnsi="仿宋" w:eastAsia="仿宋" w:cs="仿宋"/>
          <w:sz w:val="32"/>
          <w:szCs w:val="32"/>
          <w:u w:val="single"/>
        </w:rPr>
        <w:t>555.02</w:t>
      </w:r>
      <w:r>
        <w:rPr>
          <w:rFonts w:hint="eastAsia" w:ascii="仿宋" w:hAnsi="仿宋" w:eastAsia="仿宋" w:cs="仿宋"/>
          <w:sz w:val="32"/>
          <w:szCs w:val="32"/>
        </w:rPr>
        <w:t>万；占一般公共预算项目支出总额的</w:t>
      </w:r>
      <w:r>
        <w:rPr>
          <w:rFonts w:hint="eastAsia" w:ascii="仿宋" w:hAnsi="仿宋" w:eastAsia="仿宋" w:cs="仿宋"/>
          <w:sz w:val="32"/>
          <w:szCs w:val="32"/>
          <w:u w:val="single"/>
        </w:rPr>
        <w:t>100</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政府性基金预算项目</w:t>
      </w:r>
      <w:r>
        <w:rPr>
          <w:rFonts w:hint="eastAsia" w:ascii="仿宋" w:hAnsi="仿宋" w:eastAsia="仿宋" w:cs="仿宋"/>
          <w:sz w:val="32"/>
          <w:szCs w:val="32"/>
          <w:u w:val="single"/>
        </w:rPr>
        <w:t>0</w:t>
      </w:r>
      <w:r>
        <w:rPr>
          <w:rFonts w:hint="eastAsia" w:ascii="仿宋" w:hAnsi="仿宋" w:eastAsia="仿宋" w:cs="仿宋"/>
          <w:sz w:val="32"/>
          <w:szCs w:val="32"/>
        </w:rPr>
        <w:t>个，其中，一级项目</w:t>
      </w:r>
      <w:r>
        <w:rPr>
          <w:rFonts w:hint="eastAsia" w:ascii="仿宋" w:hAnsi="仿宋" w:eastAsia="仿宋" w:cs="仿宋"/>
          <w:sz w:val="32"/>
          <w:szCs w:val="32"/>
          <w:u w:val="single"/>
        </w:rPr>
        <w:t>0</w:t>
      </w:r>
      <w:r>
        <w:rPr>
          <w:rFonts w:hint="eastAsia" w:ascii="仿宋" w:hAnsi="仿宋" w:eastAsia="仿宋" w:cs="仿宋"/>
          <w:sz w:val="32"/>
          <w:szCs w:val="32"/>
        </w:rPr>
        <w:t>个，二级项目</w:t>
      </w:r>
      <w:r>
        <w:rPr>
          <w:rFonts w:hint="eastAsia" w:ascii="仿宋" w:hAnsi="仿宋" w:eastAsia="仿宋" w:cs="仿宋"/>
          <w:sz w:val="32"/>
          <w:szCs w:val="32"/>
          <w:u w:val="single"/>
        </w:rPr>
        <w:t>0</w:t>
      </w:r>
      <w:r>
        <w:rPr>
          <w:rFonts w:hint="eastAsia" w:ascii="仿宋" w:hAnsi="仿宋" w:eastAsia="仿宋" w:cs="仿宋"/>
          <w:sz w:val="32"/>
          <w:szCs w:val="32"/>
        </w:rPr>
        <w:t>个，共涉及资金</w:t>
      </w:r>
      <w:r>
        <w:rPr>
          <w:rFonts w:hint="eastAsia" w:ascii="仿宋" w:hAnsi="仿宋" w:eastAsia="仿宋" w:cs="仿宋"/>
          <w:sz w:val="32"/>
          <w:szCs w:val="32"/>
          <w:u w:val="single"/>
        </w:rPr>
        <w:t>0</w:t>
      </w:r>
      <w:r>
        <w:rPr>
          <w:rFonts w:hint="eastAsia" w:ascii="仿宋" w:hAnsi="仿宋" w:eastAsia="仿宋" w:cs="仿宋"/>
          <w:sz w:val="32"/>
          <w:szCs w:val="32"/>
        </w:rPr>
        <w:t>万元，占应纳入绩效自评的政府性基金预算项目支出总额的</w:t>
      </w:r>
      <w:r>
        <w:rPr>
          <w:rFonts w:hint="eastAsia" w:ascii="仿宋" w:hAnsi="仿宋" w:eastAsia="仿宋" w:cs="仿宋"/>
          <w:sz w:val="32"/>
          <w:szCs w:val="32"/>
          <w:u w:val="single"/>
        </w:rPr>
        <w:t>0</w:t>
      </w:r>
      <w:r>
        <w:rPr>
          <w:rFonts w:hint="eastAsia" w:ascii="仿宋" w:hAnsi="仿宋" w:eastAsia="仿宋" w:cs="仿宋"/>
          <w:sz w:val="32"/>
          <w:szCs w:val="32"/>
        </w:rPr>
        <w:t>%；政府采购涉及资金</w:t>
      </w:r>
      <w:r>
        <w:rPr>
          <w:rFonts w:hint="eastAsia" w:ascii="仿宋" w:hAnsi="仿宋" w:eastAsia="仿宋" w:cs="仿宋"/>
          <w:sz w:val="32"/>
          <w:szCs w:val="32"/>
          <w:u w:val="single"/>
        </w:rPr>
        <w:t>1.13</w:t>
      </w:r>
      <w:r>
        <w:rPr>
          <w:rFonts w:hint="eastAsia" w:ascii="仿宋" w:hAnsi="仿宋" w:eastAsia="仿宋" w:cs="仿宋"/>
          <w:sz w:val="32"/>
          <w:szCs w:val="32"/>
        </w:rPr>
        <w:t>万元.</w:t>
      </w:r>
    </w:p>
    <w:p w14:paraId="6539066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pPr>
      <w:r>
        <w:rPr>
          <w:rFonts w:hint="eastAsia" w:ascii="仿宋" w:hAnsi="仿宋" w:eastAsia="仿宋" w:cs="仿宋"/>
          <w:sz w:val="32"/>
          <w:szCs w:val="32"/>
          <w:highlight w:val="none"/>
        </w:rPr>
        <w:t>组织对“A项目”、“B项目”、“C项目”等</w:t>
      </w:r>
      <w:r>
        <w:rPr>
          <w:rFonts w:hint="eastAsia" w:ascii="仿宋" w:hAnsi="仿宋" w:eastAsia="仿宋" w:cs="仿宋"/>
          <w:sz w:val="32"/>
          <w:szCs w:val="32"/>
          <w:highlight w:val="none"/>
          <w:u w:val="single"/>
          <w:lang w:val="en-US" w:eastAsia="zh-CN"/>
        </w:rPr>
        <w:t>8</w:t>
      </w:r>
      <w:r>
        <w:rPr>
          <w:rFonts w:hint="eastAsia" w:ascii="仿宋" w:hAnsi="仿宋" w:eastAsia="仿宋" w:cs="仿宋"/>
          <w:sz w:val="32"/>
          <w:szCs w:val="32"/>
          <w:highlight w:val="none"/>
        </w:rPr>
        <w:t>个项目开展了单位评价，涉及一般公共预算支出</w:t>
      </w:r>
      <w:r>
        <w:rPr>
          <w:rFonts w:hint="eastAsia" w:ascii="仿宋" w:hAnsi="仿宋" w:eastAsia="仿宋" w:cs="仿宋"/>
          <w:sz w:val="32"/>
          <w:szCs w:val="32"/>
          <w:u w:val="single"/>
        </w:rPr>
        <w:t>555.02</w:t>
      </w:r>
      <w:r>
        <w:rPr>
          <w:rFonts w:hint="eastAsia" w:ascii="仿宋" w:hAnsi="仿宋" w:eastAsia="仿宋" w:cs="仿宋"/>
          <w:sz w:val="32"/>
          <w:szCs w:val="32"/>
          <w:highlight w:val="none"/>
        </w:rPr>
        <w:t>万元，政府性基金支出</w:t>
      </w:r>
      <w:r>
        <w:rPr>
          <w:rFonts w:hint="eastAsia" w:ascii="仿宋" w:hAnsi="仿宋" w:eastAsia="仿宋" w:cs="仿宋"/>
          <w:sz w:val="32"/>
          <w:szCs w:val="32"/>
          <w:highlight w:val="none"/>
          <w:u w:val="single"/>
        </w:rPr>
        <w:t>0</w:t>
      </w:r>
      <w:r>
        <w:rPr>
          <w:rFonts w:hint="eastAsia" w:ascii="仿宋" w:hAnsi="仿宋" w:eastAsia="仿宋" w:cs="仿宋"/>
          <w:sz w:val="32"/>
          <w:szCs w:val="32"/>
          <w:highlight w:val="none"/>
        </w:rPr>
        <w:t>万元。其中，对“A项目”、“B项目”、“C项目”等项目分别委托相关第三方机构开展绩效评价。从</w:t>
      </w:r>
      <w:r>
        <w:rPr>
          <w:rFonts w:ascii="仿宋" w:hAnsi="仿宋" w:eastAsia="仿宋" w:cs="仿宋"/>
          <w:color w:val="000000"/>
          <w:kern w:val="0"/>
          <w:sz w:val="31"/>
          <w:szCs w:val="31"/>
          <w:lang w:val="en-US" w:eastAsia="zh-CN" w:bidi="ar"/>
        </w:rPr>
        <w:t>评价情况看，以上项目通过绩效评价，科</w:t>
      </w:r>
      <w:r>
        <w:rPr>
          <w:rFonts w:hint="eastAsia" w:ascii="仿宋" w:hAnsi="仿宋" w:eastAsia="仿宋" w:cs="仿宋"/>
          <w:color w:val="000000"/>
          <w:kern w:val="0"/>
          <w:sz w:val="31"/>
          <w:szCs w:val="31"/>
          <w:lang w:val="en-US" w:eastAsia="zh-CN" w:bidi="ar"/>
        </w:rPr>
        <w:t>学、客观、公正的对 2023年度项目资金进行整体综合性评价，反映其社会效益，更好地发挥其政策扶持、引导作用，分析项目各项指标是否达到预期完成情况，评价资金的 规范性和有效性，并及时总结经验，分析存在问题，提出改进意见和建议，促进本单位提升财政项目资金的预算绩效管理工作水平，强化支出责任，优化资源配置效率，提高财政资金使用效益。</w:t>
      </w:r>
    </w:p>
    <w:p w14:paraId="7CA9A5D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（二）单位决算中项目绩效自评结果。</w:t>
      </w:r>
    </w:p>
    <w:p w14:paraId="43E4DCB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呼和浩特市民政局综合保障中心 2023年度在决算中反映</w:t>
      </w:r>
      <w:r>
        <w:rPr>
          <w:rFonts w:hint="eastAsia" w:ascii="仿宋" w:hAnsi="仿宋" w:eastAsia="仿宋" w:cs="仿宋"/>
          <w:sz w:val="32"/>
          <w:szCs w:val="32"/>
          <w:u w:val="single"/>
        </w:rPr>
        <w:t>8</w:t>
      </w:r>
      <w:r>
        <w:rPr>
          <w:rFonts w:hint="eastAsia" w:ascii="仿宋" w:hAnsi="仿宋" w:eastAsia="仿宋" w:cs="仿宋"/>
          <w:sz w:val="32"/>
          <w:szCs w:val="32"/>
        </w:rPr>
        <w:t>个一般公共预算项目，以及</w:t>
      </w:r>
      <w:r>
        <w:rPr>
          <w:rFonts w:hint="eastAsia" w:ascii="仿宋" w:hAnsi="仿宋" w:eastAsia="仿宋" w:cs="仿宋"/>
          <w:sz w:val="32"/>
          <w:szCs w:val="32"/>
          <w:u w:val="single"/>
        </w:rPr>
        <w:t>0</w:t>
      </w:r>
      <w:r>
        <w:rPr>
          <w:rFonts w:hint="eastAsia" w:ascii="仿宋" w:hAnsi="仿宋" w:eastAsia="仿宋" w:cs="仿宋"/>
          <w:sz w:val="32"/>
          <w:szCs w:val="32"/>
        </w:rPr>
        <w:t>个政府性基金项目，共</w:t>
      </w:r>
      <w:r>
        <w:rPr>
          <w:rFonts w:hint="eastAsia" w:ascii="仿宋" w:hAnsi="仿宋" w:eastAsia="仿宋" w:cs="仿宋"/>
          <w:sz w:val="32"/>
          <w:szCs w:val="32"/>
          <w:u w:val="single"/>
          <w:lang w:val="en-US" w:eastAsia="zh-CN"/>
        </w:rPr>
        <w:t>8</w:t>
      </w:r>
      <w:r>
        <w:rPr>
          <w:rFonts w:hint="eastAsia" w:ascii="仿宋" w:hAnsi="仿宋" w:eastAsia="仿宋" w:cs="仿宋"/>
          <w:sz w:val="32"/>
          <w:szCs w:val="32"/>
        </w:rPr>
        <w:t>个项目的绩效自评结果。</w:t>
      </w:r>
    </w:p>
    <w:p w14:paraId="6956F8D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1.社会管理经费项目自评综述：根据年初设定的绩效目标，项目自评得分</w:t>
      </w:r>
      <w:r>
        <w:rPr>
          <w:rFonts w:hint="eastAsia" w:ascii="仿宋" w:hAnsi="仿宋" w:eastAsia="仿宋" w:cs="仿宋"/>
          <w:sz w:val="32"/>
          <w:szCs w:val="32"/>
          <w:u w:val="single"/>
        </w:rPr>
        <w:t>93.07</w:t>
      </w:r>
      <w:r>
        <w:rPr>
          <w:rFonts w:hint="eastAsia" w:ascii="仿宋" w:hAnsi="仿宋" w:eastAsia="仿宋" w:cs="仿宋"/>
          <w:sz w:val="32"/>
          <w:szCs w:val="32"/>
        </w:rPr>
        <w:t>分。全年预算数为</w:t>
      </w:r>
      <w:r>
        <w:rPr>
          <w:rFonts w:hint="eastAsia" w:ascii="仿宋" w:hAnsi="仿宋" w:eastAsia="仿宋" w:cs="仿宋"/>
          <w:sz w:val="32"/>
          <w:szCs w:val="32"/>
          <w:u w:val="single"/>
        </w:rPr>
        <w:t>5</w:t>
      </w:r>
      <w:r>
        <w:rPr>
          <w:rFonts w:hint="eastAsia" w:ascii="仿宋" w:hAnsi="仿宋" w:eastAsia="仿宋" w:cs="仿宋"/>
          <w:sz w:val="32"/>
          <w:szCs w:val="32"/>
        </w:rPr>
        <w:t>万元，执行数为</w:t>
      </w:r>
      <w:r>
        <w:rPr>
          <w:rFonts w:hint="eastAsia" w:ascii="仿宋" w:hAnsi="仿宋" w:eastAsia="仿宋" w:cs="仿宋"/>
          <w:sz w:val="32"/>
          <w:szCs w:val="32"/>
          <w:u w:val="single"/>
          <w:lang w:val="en-US" w:eastAsia="zh-CN"/>
        </w:rPr>
        <w:t>4.51</w:t>
      </w:r>
      <w:r>
        <w:rPr>
          <w:rFonts w:hint="eastAsia" w:ascii="仿宋" w:hAnsi="仿宋" w:eastAsia="仿宋" w:cs="仿宋"/>
          <w:sz w:val="32"/>
          <w:szCs w:val="32"/>
        </w:rPr>
        <w:t>万元，完成预算的</w:t>
      </w:r>
      <w:r>
        <w:rPr>
          <w:rFonts w:hint="eastAsia" w:ascii="仿宋" w:hAnsi="仿宋" w:eastAsia="仿宋" w:cs="仿宋"/>
          <w:sz w:val="32"/>
          <w:szCs w:val="32"/>
          <w:u w:val="single"/>
          <w:lang w:val="en-US" w:eastAsia="zh-CN"/>
        </w:rPr>
        <w:t>90.2</w:t>
      </w:r>
      <w:r>
        <w:rPr>
          <w:rFonts w:hint="eastAsia" w:ascii="仿宋" w:hAnsi="仿宋" w:eastAsia="仿宋" w:cs="仿宋"/>
          <w:sz w:val="32"/>
          <w:szCs w:val="32"/>
        </w:rPr>
        <w:t>%。项目绩效目标完成情况：</w:t>
      </w:r>
      <w:r>
        <w:rPr>
          <w:rFonts w:hint="eastAsia" w:ascii="仿宋" w:hAnsi="仿宋" w:eastAsia="仿宋" w:cs="仿宋"/>
          <w:sz w:val="32"/>
          <w:szCs w:val="32"/>
          <w:lang w:eastAsia="zh-CN"/>
        </w:rPr>
        <w:t>本年度将社会管理经费落实到位</w:t>
      </w:r>
      <w:r>
        <w:rPr>
          <w:rFonts w:hint="eastAsia" w:ascii="仿宋" w:hAnsi="仿宋" w:eastAsia="仿宋" w:cs="仿宋"/>
          <w:sz w:val="32"/>
          <w:szCs w:val="32"/>
        </w:rPr>
        <w:t>。发现的主要问题及原因：</w:t>
      </w:r>
      <w:r>
        <w:rPr>
          <w:rFonts w:hint="eastAsia" w:ascii="仿宋" w:hAnsi="仿宋" w:eastAsia="仿宋" w:cs="仿宋"/>
          <w:sz w:val="32"/>
          <w:szCs w:val="32"/>
          <w:lang w:eastAsia="zh-CN"/>
        </w:rPr>
        <w:t>对于社会管理经费</w:t>
      </w:r>
      <w:r>
        <w:rPr>
          <w:rFonts w:hint="eastAsia" w:ascii="仿宋" w:hAnsi="仿宋" w:eastAsia="仿宋" w:cs="仿宋"/>
          <w:sz w:val="32"/>
          <w:szCs w:val="32"/>
        </w:rPr>
        <w:t>的使用量信息掌握不完整造成预算不准确。下一步改进措施：确保对项目资金实时了解，做好资金使用的</w:t>
      </w:r>
      <w:r>
        <w:rPr>
          <w:rFonts w:hint="eastAsia" w:ascii="仿宋" w:hAnsi="仿宋" w:eastAsia="仿宋" w:cs="仿宋"/>
          <w:sz w:val="32"/>
          <w:szCs w:val="32"/>
          <w:lang w:eastAsia="zh-CN"/>
        </w:rPr>
        <w:t>预算。</w:t>
      </w:r>
    </w:p>
    <w:p w14:paraId="007A5A8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rPr>
        <w:t>福利企业托管人员社会保障缴费及医疗一次性安置费项目自评综述：根据年初设定的绩效目标，项目自评得分</w:t>
      </w:r>
      <w:r>
        <w:rPr>
          <w:rFonts w:hint="eastAsia" w:ascii="仿宋" w:hAnsi="仿宋" w:eastAsia="仿宋" w:cs="仿宋"/>
          <w:sz w:val="32"/>
          <w:szCs w:val="32"/>
          <w:u w:val="single"/>
        </w:rPr>
        <w:t>100</w:t>
      </w:r>
      <w:r>
        <w:rPr>
          <w:rFonts w:hint="eastAsia" w:ascii="仿宋" w:hAnsi="仿宋" w:eastAsia="仿宋" w:cs="仿宋"/>
          <w:sz w:val="32"/>
          <w:szCs w:val="32"/>
        </w:rPr>
        <w:t>分。全年预算数为</w:t>
      </w:r>
      <w:r>
        <w:rPr>
          <w:rFonts w:hint="eastAsia" w:ascii="仿宋" w:hAnsi="仿宋" w:eastAsia="仿宋" w:cs="仿宋"/>
          <w:sz w:val="32"/>
          <w:szCs w:val="32"/>
          <w:u w:val="single"/>
        </w:rPr>
        <w:t>410.10</w:t>
      </w:r>
      <w:r>
        <w:rPr>
          <w:rFonts w:hint="eastAsia" w:ascii="仿宋" w:hAnsi="仿宋" w:eastAsia="仿宋" w:cs="仿宋"/>
          <w:sz w:val="32"/>
          <w:szCs w:val="32"/>
        </w:rPr>
        <w:t>万元，执行数为</w:t>
      </w:r>
      <w:r>
        <w:rPr>
          <w:rFonts w:hint="eastAsia" w:ascii="仿宋" w:hAnsi="仿宋" w:eastAsia="仿宋" w:cs="仿宋"/>
          <w:sz w:val="32"/>
          <w:szCs w:val="32"/>
          <w:u w:val="single"/>
          <w:lang w:val="en-US" w:eastAsia="zh-CN"/>
        </w:rPr>
        <w:t>410.10</w:t>
      </w:r>
      <w:r>
        <w:rPr>
          <w:rFonts w:hint="eastAsia" w:ascii="仿宋" w:hAnsi="仿宋" w:eastAsia="仿宋" w:cs="仿宋"/>
          <w:sz w:val="32"/>
          <w:szCs w:val="32"/>
        </w:rPr>
        <w:t>万元，完成预算的</w:t>
      </w:r>
      <w:r>
        <w:rPr>
          <w:rFonts w:hint="eastAsia" w:ascii="仿宋" w:hAnsi="仿宋" w:eastAsia="仿宋" w:cs="仿宋"/>
          <w:sz w:val="32"/>
          <w:szCs w:val="32"/>
          <w:u w:val="single"/>
          <w:lang w:val="en-US" w:eastAsia="zh-CN"/>
        </w:rPr>
        <w:t>100</w:t>
      </w:r>
      <w:r>
        <w:rPr>
          <w:rFonts w:hint="eastAsia" w:ascii="仿宋" w:hAnsi="仿宋" w:eastAsia="仿宋" w:cs="仿宋"/>
          <w:sz w:val="32"/>
          <w:szCs w:val="32"/>
        </w:rPr>
        <w:t>%。项目绩效目标完成情况：：缴纳转制企业安置托管职工社</w:t>
      </w:r>
      <w:r>
        <w:rPr>
          <w:rFonts w:hint="eastAsia" w:ascii="仿宋" w:hAnsi="仿宋" w:eastAsia="仿宋" w:cs="仿宋"/>
          <w:sz w:val="32"/>
          <w:szCs w:val="32"/>
          <w:lang w:eastAsia="zh-CN"/>
        </w:rPr>
        <w:t>会保障费</w:t>
      </w:r>
      <w:r>
        <w:rPr>
          <w:rFonts w:hint="eastAsia" w:ascii="仿宋" w:hAnsi="仿宋" w:eastAsia="仿宋" w:cs="仿宋"/>
          <w:sz w:val="32"/>
          <w:szCs w:val="32"/>
        </w:rPr>
        <w:t>全年完成。发现的主要问题及原因：</w:t>
      </w:r>
      <w:r>
        <w:rPr>
          <w:rFonts w:hint="eastAsia" w:ascii="仿宋" w:hAnsi="仿宋" w:eastAsia="仿宋" w:cs="仿宋"/>
          <w:sz w:val="32"/>
          <w:szCs w:val="32"/>
          <w:lang w:eastAsia="zh-CN"/>
        </w:rPr>
        <w:t>未发现问题</w:t>
      </w:r>
      <w:r>
        <w:rPr>
          <w:rFonts w:hint="eastAsia" w:ascii="仿宋" w:hAnsi="仿宋" w:eastAsia="仿宋" w:cs="仿宋"/>
          <w:sz w:val="32"/>
          <w:szCs w:val="32"/>
        </w:rPr>
        <w:t>。下一步改进措施</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及时与社保机构沟通，尽量保证缴纳资金准确同时确保对项目资金实时了解，做好资金使用的统筹规划。</w:t>
      </w:r>
    </w:p>
    <w:p w14:paraId="6430E3D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3.驻村第一书记相关费用项目自评综述：根据年初设定的绩效目标，项目自评得分</w:t>
      </w:r>
      <w:r>
        <w:rPr>
          <w:rFonts w:hint="eastAsia" w:ascii="仿宋" w:hAnsi="仿宋" w:eastAsia="仿宋" w:cs="仿宋"/>
          <w:sz w:val="32"/>
          <w:szCs w:val="32"/>
          <w:u w:val="single"/>
        </w:rPr>
        <w:t>100</w:t>
      </w:r>
      <w:r>
        <w:rPr>
          <w:rFonts w:hint="eastAsia" w:ascii="仿宋" w:hAnsi="仿宋" w:eastAsia="仿宋" w:cs="仿宋"/>
          <w:sz w:val="32"/>
          <w:szCs w:val="32"/>
        </w:rPr>
        <w:t>分。全年预算数为</w:t>
      </w:r>
      <w:r>
        <w:rPr>
          <w:rFonts w:hint="eastAsia" w:ascii="仿宋" w:hAnsi="仿宋" w:eastAsia="仿宋" w:cs="仿宋"/>
          <w:sz w:val="32"/>
          <w:szCs w:val="32"/>
          <w:u w:val="single"/>
        </w:rPr>
        <w:t>2.33</w:t>
      </w:r>
      <w:r>
        <w:rPr>
          <w:rFonts w:hint="eastAsia" w:ascii="仿宋" w:hAnsi="仿宋" w:eastAsia="仿宋" w:cs="仿宋"/>
          <w:sz w:val="32"/>
          <w:szCs w:val="32"/>
        </w:rPr>
        <w:t>万元，执行数为</w:t>
      </w:r>
      <w:r>
        <w:rPr>
          <w:rFonts w:hint="eastAsia" w:ascii="仿宋" w:hAnsi="仿宋" w:eastAsia="仿宋" w:cs="仿宋"/>
          <w:sz w:val="32"/>
          <w:szCs w:val="32"/>
          <w:u w:val="single"/>
        </w:rPr>
        <w:t>2.33</w:t>
      </w:r>
      <w:r>
        <w:rPr>
          <w:rFonts w:hint="eastAsia" w:ascii="仿宋" w:hAnsi="仿宋" w:eastAsia="仿宋" w:cs="仿宋"/>
          <w:sz w:val="32"/>
          <w:szCs w:val="32"/>
        </w:rPr>
        <w:t>万元，完成预算的</w:t>
      </w:r>
      <w:r>
        <w:rPr>
          <w:rFonts w:hint="eastAsia" w:ascii="仿宋" w:hAnsi="仿宋" w:eastAsia="仿宋" w:cs="仿宋"/>
          <w:sz w:val="32"/>
          <w:szCs w:val="32"/>
          <w:u w:val="single"/>
          <w:lang w:val="en-US" w:eastAsia="zh-CN"/>
        </w:rPr>
        <w:t>100</w:t>
      </w:r>
      <w:r>
        <w:rPr>
          <w:rFonts w:hint="eastAsia" w:ascii="仿宋" w:hAnsi="仿宋" w:eastAsia="仿宋" w:cs="仿宋"/>
          <w:sz w:val="32"/>
          <w:szCs w:val="32"/>
        </w:rPr>
        <w:t>%。项目绩效目标完成情况：</w:t>
      </w:r>
      <w:r>
        <w:rPr>
          <w:rFonts w:hint="eastAsia" w:ascii="仿宋" w:hAnsi="仿宋" w:eastAsia="仿宋" w:cs="仿宋"/>
          <w:sz w:val="32"/>
          <w:szCs w:val="32"/>
          <w:lang w:val="en-US" w:eastAsia="zh-CN"/>
        </w:rPr>
        <w:t>确保驻村第一书记和工作队派的优、下得去、融得进、干得好。</w:t>
      </w:r>
      <w:r>
        <w:rPr>
          <w:rFonts w:hint="eastAsia" w:ascii="仿宋" w:hAnsi="仿宋" w:eastAsia="仿宋" w:cs="仿宋"/>
          <w:sz w:val="32"/>
          <w:szCs w:val="32"/>
        </w:rPr>
        <w:t>发现的主要问题及原因</w:t>
      </w:r>
      <w:r>
        <w:rPr>
          <w:rFonts w:hint="eastAsia" w:ascii="仿宋" w:hAnsi="仿宋" w:eastAsia="仿宋" w:cs="仿宋"/>
          <w:sz w:val="32"/>
          <w:szCs w:val="32"/>
          <w:lang w:eastAsia="zh-CN"/>
        </w:rPr>
        <w:t>：未发现问题</w:t>
      </w:r>
      <w:r>
        <w:rPr>
          <w:rFonts w:hint="eastAsia" w:ascii="仿宋" w:hAnsi="仿宋" w:eastAsia="仿宋" w:cs="仿宋"/>
          <w:sz w:val="32"/>
          <w:szCs w:val="32"/>
        </w:rPr>
        <w:t>。下一步改进措施：</w:t>
      </w:r>
      <w:r>
        <w:rPr>
          <w:rFonts w:hint="eastAsia" w:ascii="仿宋" w:hAnsi="仿宋" w:eastAsia="仿宋" w:cs="仿宋"/>
          <w:sz w:val="32"/>
          <w:szCs w:val="32"/>
          <w:lang w:val="en-US" w:eastAsia="zh-CN"/>
        </w:rPr>
        <w:t>加强绩效管理、应用，合理安排实施项目。</w:t>
      </w:r>
    </w:p>
    <w:p w14:paraId="29FFBF2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4.残疾人保障金项目自评综述：根据年初设定的绩效目标，项目自评得分</w:t>
      </w:r>
      <w:r>
        <w:rPr>
          <w:rFonts w:hint="eastAsia" w:ascii="仿宋" w:hAnsi="仿宋" w:eastAsia="仿宋" w:cs="仿宋"/>
          <w:sz w:val="32"/>
          <w:szCs w:val="32"/>
          <w:u w:val="single"/>
        </w:rPr>
        <w:t>98.1</w:t>
      </w:r>
      <w:r>
        <w:rPr>
          <w:rFonts w:hint="eastAsia" w:ascii="仿宋" w:hAnsi="仿宋" w:eastAsia="仿宋" w:cs="仿宋"/>
          <w:sz w:val="32"/>
          <w:szCs w:val="32"/>
        </w:rPr>
        <w:t>分。全年预算数为</w:t>
      </w:r>
      <w:r>
        <w:rPr>
          <w:rFonts w:hint="eastAsia" w:ascii="仿宋" w:hAnsi="仿宋" w:eastAsia="仿宋" w:cs="仿宋"/>
          <w:sz w:val="32"/>
          <w:szCs w:val="32"/>
          <w:u w:val="single"/>
        </w:rPr>
        <w:t>2.26</w:t>
      </w:r>
      <w:r>
        <w:rPr>
          <w:rFonts w:hint="eastAsia" w:ascii="仿宋" w:hAnsi="仿宋" w:eastAsia="仿宋" w:cs="仿宋"/>
          <w:sz w:val="32"/>
          <w:szCs w:val="32"/>
        </w:rPr>
        <w:t>万元，执行数为</w:t>
      </w:r>
      <w:r>
        <w:rPr>
          <w:rFonts w:hint="eastAsia" w:ascii="仿宋" w:hAnsi="仿宋" w:eastAsia="仿宋" w:cs="仿宋"/>
          <w:sz w:val="32"/>
          <w:szCs w:val="32"/>
          <w:u w:val="single"/>
          <w:lang w:val="en-US" w:eastAsia="zh-CN"/>
        </w:rPr>
        <w:t>1.83</w:t>
      </w:r>
      <w:r>
        <w:rPr>
          <w:rFonts w:hint="eastAsia" w:ascii="仿宋" w:hAnsi="仿宋" w:eastAsia="仿宋" w:cs="仿宋"/>
          <w:sz w:val="32"/>
          <w:szCs w:val="32"/>
        </w:rPr>
        <w:t>万元，完成预算的</w:t>
      </w:r>
      <w:r>
        <w:rPr>
          <w:rFonts w:hint="eastAsia" w:ascii="仿宋" w:hAnsi="仿宋" w:eastAsia="仿宋" w:cs="仿宋"/>
          <w:sz w:val="32"/>
          <w:szCs w:val="32"/>
          <w:u w:val="single"/>
          <w:lang w:val="en-US" w:eastAsia="zh-CN"/>
        </w:rPr>
        <w:t>80.97</w:t>
      </w:r>
      <w:r>
        <w:rPr>
          <w:rFonts w:hint="eastAsia" w:ascii="仿宋" w:hAnsi="仿宋" w:eastAsia="仿宋" w:cs="仿宋"/>
          <w:sz w:val="32"/>
          <w:szCs w:val="32"/>
        </w:rPr>
        <w:t>%。项目绩效目标完成情况：按时缴纳残疾人就业保障金,促进残疾人保障工作有序运行。发现的主要问题及原因：</w:t>
      </w:r>
      <w:r>
        <w:rPr>
          <w:rFonts w:hint="eastAsia" w:ascii="仿宋" w:hAnsi="仿宋" w:eastAsia="仿宋" w:cs="仿宋"/>
          <w:sz w:val="32"/>
          <w:szCs w:val="32"/>
          <w:lang w:eastAsia="zh-CN"/>
        </w:rPr>
        <w:t>残疾人保障金缴费基数核定之后，实际缴费时较之前年度有所降低</w:t>
      </w:r>
      <w:r>
        <w:rPr>
          <w:rFonts w:hint="eastAsia" w:ascii="仿宋" w:hAnsi="仿宋" w:eastAsia="仿宋" w:cs="仿宋"/>
          <w:sz w:val="32"/>
          <w:szCs w:val="32"/>
        </w:rPr>
        <w:t>。下一步改进措施：加强绩效管理、应用，合理安排实施项目。</w:t>
      </w:r>
    </w:p>
    <w:p w14:paraId="0B54862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5.体检费项目自评综述：根据年初设定的绩效目标，项目自评得分</w:t>
      </w:r>
      <w:r>
        <w:rPr>
          <w:rFonts w:hint="eastAsia" w:ascii="仿宋" w:hAnsi="仿宋" w:eastAsia="仿宋" w:cs="仿宋"/>
          <w:sz w:val="32"/>
          <w:szCs w:val="32"/>
          <w:u w:val="single"/>
        </w:rPr>
        <w:t>100</w:t>
      </w:r>
      <w:r>
        <w:rPr>
          <w:rFonts w:hint="eastAsia" w:ascii="仿宋" w:hAnsi="仿宋" w:eastAsia="仿宋" w:cs="仿宋"/>
          <w:sz w:val="32"/>
          <w:szCs w:val="32"/>
        </w:rPr>
        <w:t>分。全年预算数为</w:t>
      </w:r>
      <w:r>
        <w:rPr>
          <w:rFonts w:hint="eastAsia" w:ascii="仿宋" w:hAnsi="仿宋" w:eastAsia="仿宋" w:cs="仿宋"/>
          <w:sz w:val="32"/>
          <w:szCs w:val="32"/>
          <w:u w:val="single"/>
        </w:rPr>
        <w:t>2</w:t>
      </w:r>
      <w:r>
        <w:rPr>
          <w:rFonts w:hint="eastAsia" w:ascii="仿宋" w:hAnsi="仿宋" w:eastAsia="仿宋" w:cs="仿宋"/>
          <w:sz w:val="32"/>
          <w:szCs w:val="32"/>
        </w:rPr>
        <w:t>万元，执行数为</w:t>
      </w:r>
      <w:r>
        <w:rPr>
          <w:rFonts w:hint="eastAsia" w:ascii="仿宋" w:hAnsi="仿宋" w:eastAsia="仿宋" w:cs="仿宋"/>
          <w:sz w:val="32"/>
          <w:szCs w:val="32"/>
          <w:u w:val="single"/>
        </w:rPr>
        <w:t>2</w:t>
      </w:r>
      <w:r>
        <w:rPr>
          <w:rFonts w:hint="eastAsia" w:ascii="仿宋" w:hAnsi="仿宋" w:eastAsia="仿宋" w:cs="仿宋"/>
          <w:sz w:val="32"/>
          <w:szCs w:val="32"/>
        </w:rPr>
        <w:t>万元，完成预算的</w:t>
      </w:r>
      <w:r>
        <w:rPr>
          <w:rFonts w:hint="eastAsia" w:ascii="仿宋" w:hAnsi="仿宋" w:eastAsia="仿宋" w:cs="仿宋"/>
          <w:sz w:val="32"/>
          <w:szCs w:val="32"/>
          <w:u w:val="single"/>
        </w:rPr>
        <w:t>100</w:t>
      </w:r>
      <w:r>
        <w:rPr>
          <w:rFonts w:hint="eastAsia" w:ascii="仿宋" w:hAnsi="仿宋" w:eastAsia="仿宋" w:cs="仿宋"/>
          <w:sz w:val="32"/>
          <w:szCs w:val="32"/>
        </w:rPr>
        <w:t>%。项目绩效目标完成情况：贯彻自治区党委和市委市政府关心关爱干部职工工作部署，切实解决了职工的体检问题。发现的主要问题及原因：</w:t>
      </w:r>
      <w:r>
        <w:rPr>
          <w:rFonts w:hint="eastAsia" w:ascii="仿宋" w:hAnsi="仿宋" w:eastAsia="仿宋" w:cs="仿宋"/>
          <w:sz w:val="32"/>
          <w:szCs w:val="32"/>
          <w:lang w:eastAsia="zh-CN"/>
        </w:rPr>
        <w:t>未</w:t>
      </w:r>
      <w:r>
        <w:rPr>
          <w:rFonts w:hint="eastAsia" w:ascii="仿宋" w:hAnsi="仿宋" w:eastAsia="仿宋" w:cs="仿宋"/>
          <w:sz w:val="32"/>
          <w:szCs w:val="32"/>
        </w:rPr>
        <w:t>发现主要问题。下一步改进措施：加强绩效管理、应用，合理安排实施项目。</w:t>
      </w: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61"/>
        <w:gridCol w:w="666"/>
        <w:gridCol w:w="661"/>
        <w:gridCol w:w="607"/>
        <w:gridCol w:w="607"/>
        <w:gridCol w:w="622"/>
        <w:gridCol w:w="610"/>
        <w:gridCol w:w="612"/>
        <w:gridCol w:w="627"/>
        <w:gridCol w:w="914"/>
        <w:gridCol w:w="946"/>
        <w:gridCol w:w="989"/>
      </w:tblGrid>
      <w:tr w14:paraId="588B8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500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CA9B2A6">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项目支出绩效自评表</w:t>
            </w:r>
            <w:r>
              <w:rPr>
                <w:rFonts w:hint="eastAsia" w:ascii="宋体" w:hAnsi="宋体" w:eastAsia="宋体" w:cs="宋体"/>
                <w:b/>
                <w:bCs/>
                <w:i w:val="0"/>
                <w:iCs w:val="0"/>
                <w:color w:val="000000"/>
                <w:kern w:val="0"/>
                <w:sz w:val="40"/>
                <w:szCs w:val="40"/>
                <w:u w:val="none"/>
                <w:lang w:val="en-US" w:eastAsia="zh-CN" w:bidi="ar"/>
              </w:rPr>
              <w:br w:type="textWrapping"/>
            </w:r>
            <w:r>
              <w:rPr>
                <w:rFonts w:hint="eastAsia" w:ascii="宋体" w:hAnsi="宋体" w:eastAsia="宋体" w:cs="宋体"/>
                <w:b/>
                <w:bCs/>
                <w:i w:val="0"/>
                <w:iCs w:val="0"/>
                <w:color w:val="000000"/>
                <w:kern w:val="0"/>
                <w:sz w:val="40"/>
                <w:szCs w:val="40"/>
                <w:u w:val="none"/>
                <w:lang w:val="en-US" w:eastAsia="zh-CN" w:bidi="ar"/>
              </w:rPr>
              <w:t>(2023年度）</w:t>
            </w:r>
          </w:p>
        </w:tc>
      </w:tr>
      <w:tr w14:paraId="3A719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8E243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4220"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71D46ED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社救管理经费 </w:t>
            </w:r>
          </w:p>
        </w:tc>
      </w:tr>
      <w:tr w14:paraId="0526B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7A43A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146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2F5B44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呼和浩特市民政局（部门）</w:t>
            </w:r>
          </w:p>
        </w:tc>
        <w:tc>
          <w:tcPr>
            <w:tcW w:w="7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88C2A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03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1D203E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呼和浩特市民政局综合保障中心</w:t>
            </w:r>
          </w:p>
        </w:tc>
      </w:tr>
      <w:tr w14:paraId="42FE5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7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1348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98C098">
            <w:pPr>
              <w:rPr>
                <w:rFonts w:hint="eastAsia" w:ascii="宋体" w:hAnsi="宋体" w:eastAsia="宋体" w:cs="宋体"/>
                <w:i w:val="0"/>
                <w:iCs w:val="0"/>
                <w:color w:val="000000"/>
                <w:sz w:val="18"/>
                <w:szCs w:val="18"/>
                <w:u w:val="none"/>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6B5F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7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138F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7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46A3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D012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A611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5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6AE5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5FB67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FAA74A">
            <w:pPr>
              <w:jc w:val="center"/>
              <w:rPr>
                <w:rFonts w:hint="eastAsia" w:ascii="宋体" w:hAnsi="宋体" w:eastAsia="宋体" w:cs="宋体"/>
                <w:i w:val="0"/>
                <w:iCs w:val="0"/>
                <w:color w:val="000000"/>
                <w:sz w:val="18"/>
                <w:szCs w:val="18"/>
                <w:u w:val="none"/>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ED48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15175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7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197C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w:t>
            </w:r>
          </w:p>
        </w:tc>
        <w:tc>
          <w:tcPr>
            <w:tcW w:w="7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9FEA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4.51</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202D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169B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90.20</w:t>
            </w:r>
          </w:p>
        </w:tc>
        <w:tc>
          <w:tcPr>
            <w:tcW w:w="5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62D4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9.02</w:t>
            </w:r>
          </w:p>
        </w:tc>
      </w:tr>
      <w:tr w14:paraId="1E995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6E30E7">
            <w:pPr>
              <w:jc w:val="center"/>
              <w:rPr>
                <w:rFonts w:hint="eastAsia" w:ascii="宋体" w:hAnsi="宋体" w:eastAsia="宋体" w:cs="宋体"/>
                <w:i w:val="0"/>
                <w:iCs w:val="0"/>
                <w:color w:val="000000"/>
                <w:sz w:val="18"/>
                <w:szCs w:val="18"/>
                <w:u w:val="none"/>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B1812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B6DE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7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C3EC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w:t>
            </w:r>
          </w:p>
        </w:tc>
        <w:tc>
          <w:tcPr>
            <w:tcW w:w="7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CD48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4.51</w:t>
            </w:r>
          </w:p>
        </w:tc>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F53F7">
            <w:pPr>
              <w:keepNext w:val="0"/>
              <w:keepLines w:val="0"/>
              <w:widowControl/>
              <w:suppressLineNumbers w:val="0"/>
              <w:jc w:val="center"/>
              <w:textAlignment w:val="center"/>
              <w:rPr>
                <w:rFonts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0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1890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90.20</w:t>
            </w:r>
          </w:p>
        </w:tc>
        <w:tc>
          <w:tcPr>
            <w:tcW w:w="5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9639E">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3D58F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28E538">
            <w:pPr>
              <w:jc w:val="center"/>
              <w:rPr>
                <w:rFonts w:hint="eastAsia" w:ascii="宋体" w:hAnsi="宋体" w:eastAsia="宋体" w:cs="宋体"/>
                <w:i w:val="0"/>
                <w:iCs w:val="0"/>
                <w:color w:val="000000"/>
                <w:sz w:val="18"/>
                <w:szCs w:val="18"/>
                <w:u w:val="none"/>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7D57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上年结转资金</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F1D8F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7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BA50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BD41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47C66">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0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684A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5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6707C">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41F935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C33537">
            <w:pPr>
              <w:jc w:val="center"/>
              <w:rPr>
                <w:rFonts w:hint="eastAsia" w:ascii="宋体" w:hAnsi="宋体" w:eastAsia="宋体" w:cs="宋体"/>
                <w:i w:val="0"/>
                <w:iCs w:val="0"/>
                <w:color w:val="000000"/>
                <w:sz w:val="18"/>
                <w:szCs w:val="18"/>
                <w:u w:val="none"/>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DF6D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B463D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7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0B88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BFC8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E15AA">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0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7E6A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5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4A5CB">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2E7489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7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939A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182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8A662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239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3CD13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2DB61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B9B8B4">
            <w:pPr>
              <w:jc w:val="center"/>
              <w:rPr>
                <w:rFonts w:hint="eastAsia" w:ascii="宋体" w:hAnsi="宋体" w:eastAsia="宋体" w:cs="宋体"/>
                <w:i w:val="0"/>
                <w:iCs w:val="0"/>
                <w:color w:val="000000"/>
                <w:sz w:val="18"/>
                <w:szCs w:val="18"/>
                <w:u w:val="none"/>
              </w:rPr>
            </w:pPr>
          </w:p>
        </w:tc>
        <w:tc>
          <w:tcPr>
            <w:tcW w:w="182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4FACD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各项工作经费主要包括培训费，差旅费，交通费，印刷费，设备购置费，办公工作经费。</w:t>
            </w:r>
          </w:p>
        </w:tc>
        <w:tc>
          <w:tcPr>
            <w:tcW w:w="239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BB01B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市级下达部门预算城乡社会救助工作经费项目资金5万元；全年执行数为4.51万元。在资金使用方面，严格制定和执行财务管理制度，资金使用规范，相关资料齐全，成本控制有效，无挪用、截留经费的情况发生。在项目管理方面，建立相关制度，提高工作人员的监管水平，保质保量地完成项目的实施工作。</w:t>
            </w:r>
          </w:p>
        </w:tc>
      </w:tr>
      <w:tr w14:paraId="67586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33D8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3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B4F9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8DFE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4462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79C3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指标性质</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B3F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指标方向</w:t>
            </w: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C2FC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C13F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CB0C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D50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7848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5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CE468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5A9A98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restart"/>
            <w:tcBorders>
              <w:top w:val="single" w:color="000000" w:sz="4" w:space="0"/>
              <w:left w:val="single" w:color="000000" w:sz="4" w:space="0"/>
              <w:bottom w:val="nil"/>
              <w:right w:val="single" w:color="000000" w:sz="4" w:space="0"/>
            </w:tcBorders>
            <w:shd w:val="clear" w:color="auto" w:fill="auto"/>
            <w:vAlign w:val="center"/>
          </w:tcPr>
          <w:p w14:paraId="6E516E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390" w:type="pct"/>
            <w:vMerge w:val="restart"/>
            <w:tcBorders>
              <w:top w:val="single" w:color="000000" w:sz="4" w:space="0"/>
              <w:left w:val="single" w:color="000000" w:sz="4" w:space="0"/>
              <w:bottom w:val="nil"/>
              <w:right w:val="single" w:color="000000" w:sz="4" w:space="0"/>
            </w:tcBorders>
            <w:shd w:val="clear" w:color="auto" w:fill="auto"/>
            <w:vAlign w:val="center"/>
          </w:tcPr>
          <w:p w14:paraId="776C16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388" w:type="pct"/>
            <w:vMerge w:val="restart"/>
            <w:tcBorders>
              <w:top w:val="single" w:color="000000" w:sz="4" w:space="0"/>
              <w:left w:val="single" w:color="000000" w:sz="4" w:space="0"/>
              <w:bottom w:val="nil"/>
              <w:right w:val="single" w:color="000000" w:sz="4" w:space="0"/>
            </w:tcBorders>
            <w:shd w:val="clear" w:color="auto" w:fill="auto"/>
            <w:vAlign w:val="center"/>
          </w:tcPr>
          <w:p w14:paraId="392F4A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46D4AA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培训次数</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46298D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6F4C1D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54DF69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0FC727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495ECB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次/年</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0B83DA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0B2387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4B2427B1">
            <w:pPr>
              <w:jc w:val="center"/>
              <w:rPr>
                <w:rFonts w:hint="eastAsia" w:ascii="宋体" w:hAnsi="宋体" w:eastAsia="宋体" w:cs="宋体"/>
                <w:i w:val="0"/>
                <w:iCs w:val="0"/>
                <w:color w:val="000000"/>
                <w:sz w:val="18"/>
                <w:szCs w:val="18"/>
                <w:u w:val="none"/>
              </w:rPr>
            </w:pPr>
          </w:p>
        </w:tc>
      </w:tr>
      <w:tr w14:paraId="6D3E3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47B683B3">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5AF31788">
            <w:pPr>
              <w:jc w:val="center"/>
              <w:rPr>
                <w:rFonts w:hint="eastAsia" w:ascii="宋体" w:hAnsi="宋体" w:eastAsia="宋体" w:cs="宋体"/>
                <w:i w:val="0"/>
                <w:iCs w:val="0"/>
                <w:color w:val="000000"/>
                <w:sz w:val="18"/>
                <w:szCs w:val="18"/>
                <w:u w:val="none"/>
              </w:rPr>
            </w:pPr>
          </w:p>
        </w:tc>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041D142B">
            <w:pPr>
              <w:jc w:val="center"/>
              <w:rPr>
                <w:rFonts w:hint="eastAsia" w:ascii="宋体" w:hAnsi="宋体" w:eastAsia="宋体" w:cs="宋体"/>
                <w:i w:val="0"/>
                <w:iCs w:val="0"/>
                <w:color w:val="000000"/>
                <w:sz w:val="18"/>
                <w:szCs w:val="18"/>
                <w:u w:val="none"/>
              </w:rPr>
            </w:pPr>
          </w:p>
        </w:tc>
        <w:tc>
          <w:tcPr>
            <w:tcW w:w="356" w:type="pct"/>
            <w:tcBorders>
              <w:top w:val="single" w:color="000000" w:sz="4" w:space="0"/>
              <w:left w:val="single" w:color="000000" w:sz="4" w:space="0"/>
              <w:bottom w:val="nil"/>
              <w:right w:val="single" w:color="000000" w:sz="4" w:space="0"/>
            </w:tcBorders>
            <w:shd w:val="clear" w:color="auto" w:fill="auto"/>
            <w:vAlign w:val="center"/>
          </w:tcPr>
          <w:p w14:paraId="485C34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印刷次数</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57F0E3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0902D7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5CC432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2EF862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22D32F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次/年</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0D8682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518056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7929262E">
            <w:pPr>
              <w:jc w:val="center"/>
              <w:rPr>
                <w:rFonts w:hint="eastAsia" w:ascii="宋体" w:hAnsi="宋体" w:eastAsia="宋体" w:cs="宋体"/>
                <w:i w:val="0"/>
                <w:iCs w:val="0"/>
                <w:color w:val="000000"/>
                <w:sz w:val="18"/>
                <w:szCs w:val="18"/>
                <w:u w:val="none"/>
              </w:rPr>
            </w:pPr>
          </w:p>
        </w:tc>
      </w:tr>
      <w:tr w14:paraId="65962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2AEF5B56">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2BE407DD">
            <w:pPr>
              <w:jc w:val="center"/>
              <w:rPr>
                <w:rFonts w:hint="eastAsia" w:ascii="宋体" w:hAnsi="宋体" w:eastAsia="宋体" w:cs="宋体"/>
                <w:i w:val="0"/>
                <w:iCs w:val="0"/>
                <w:color w:val="000000"/>
                <w:sz w:val="18"/>
                <w:szCs w:val="18"/>
                <w:u w:val="none"/>
              </w:rPr>
            </w:pPr>
          </w:p>
        </w:tc>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728E9D5C">
            <w:pPr>
              <w:jc w:val="center"/>
              <w:rPr>
                <w:rFonts w:hint="eastAsia" w:ascii="宋体" w:hAnsi="宋体" w:eastAsia="宋体" w:cs="宋体"/>
                <w:i w:val="0"/>
                <w:iCs w:val="0"/>
                <w:color w:val="000000"/>
                <w:sz w:val="18"/>
                <w:szCs w:val="18"/>
                <w:u w:val="none"/>
              </w:rPr>
            </w:pPr>
          </w:p>
        </w:tc>
        <w:tc>
          <w:tcPr>
            <w:tcW w:w="356" w:type="pct"/>
            <w:tcBorders>
              <w:top w:val="single" w:color="000000" w:sz="4" w:space="0"/>
              <w:left w:val="single" w:color="000000" w:sz="4" w:space="0"/>
              <w:bottom w:val="nil"/>
              <w:right w:val="single" w:color="000000" w:sz="4" w:space="0"/>
            </w:tcBorders>
            <w:shd w:val="clear" w:color="auto" w:fill="auto"/>
            <w:vAlign w:val="center"/>
          </w:tcPr>
          <w:p w14:paraId="67AB0A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每月平均基层排查检查督导交通费发生次数</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038425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30D88C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1CA0E3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7F24BF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6E4B54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次/月</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64FF19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6B1AA5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45A5356E">
            <w:pPr>
              <w:jc w:val="center"/>
              <w:rPr>
                <w:rFonts w:hint="eastAsia" w:ascii="宋体" w:hAnsi="宋体" w:eastAsia="宋体" w:cs="宋体"/>
                <w:i w:val="0"/>
                <w:iCs w:val="0"/>
                <w:color w:val="000000"/>
                <w:sz w:val="18"/>
                <w:szCs w:val="18"/>
                <w:u w:val="none"/>
              </w:rPr>
            </w:pPr>
          </w:p>
        </w:tc>
      </w:tr>
      <w:tr w14:paraId="313B5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3E967F0B">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587A16E1">
            <w:pPr>
              <w:jc w:val="center"/>
              <w:rPr>
                <w:rFonts w:hint="eastAsia" w:ascii="宋体" w:hAnsi="宋体" w:eastAsia="宋体" w:cs="宋体"/>
                <w:i w:val="0"/>
                <w:iCs w:val="0"/>
                <w:color w:val="000000"/>
                <w:sz w:val="18"/>
                <w:szCs w:val="18"/>
                <w:u w:val="none"/>
              </w:rPr>
            </w:pPr>
          </w:p>
        </w:tc>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4A8599A3">
            <w:pPr>
              <w:jc w:val="center"/>
              <w:rPr>
                <w:rFonts w:hint="eastAsia" w:ascii="宋体" w:hAnsi="宋体" w:eastAsia="宋体" w:cs="宋体"/>
                <w:i w:val="0"/>
                <w:iCs w:val="0"/>
                <w:color w:val="000000"/>
                <w:sz w:val="18"/>
                <w:szCs w:val="18"/>
                <w:u w:val="none"/>
              </w:rPr>
            </w:pPr>
          </w:p>
        </w:tc>
        <w:tc>
          <w:tcPr>
            <w:tcW w:w="356" w:type="pct"/>
            <w:tcBorders>
              <w:top w:val="single" w:color="000000" w:sz="4" w:space="0"/>
              <w:left w:val="single" w:color="000000" w:sz="4" w:space="0"/>
              <w:bottom w:val="nil"/>
              <w:right w:val="single" w:color="000000" w:sz="4" w:space="0"/>
            </w:tcBorders>
            <w:shd w:val="clear" w:color="auto" w:fill="auto"/>
            <w:vAlign w:val="center"/>
          </w:tcPr>
          <w:p w14:paraId="322C5C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每月下乡平均差旅发生次数</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43418C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6060CC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5418BB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668D3E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2A13F2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次/月</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1D8A39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41F3C4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612AA30B">
            <w:pPr>
              <w:jc w:val="center"/>
              <w:rPr>
                <w:rFonts w:hint="eastAsia" w:ascii="宋体" w:hAnsi="宋体" w:eastAsia="宋体" w:cs="宋体"/>
                <w:i w:val="0"/>
                <w:iCs w:val="0"/>
                <w:color w:val="000000"/>
                <w:sz w:val="18"/>
                <w:szCs w:val="18"/>
                <w:u w:val="none"/>
              </w:rPr>
            </w:pPr>
          </w:p>
        </w:tc>
      </w:tr>
      <w:tr w14:paraId="1692D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3ECE71D9">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3127144C">
            <w:pPr>
              <w:jc w:val="center"/>
              <w:rPr>
                <w:rFonts w:hint="eastAsia" w:ascii="宋体" w:hAnsi="宋体" w:eastAsia="宋体" w:cs="宋体"/>
                <w:i w:val="0"/>
                <w:iCs w:val="0"/>
                <w:color w:val="000000"/>
                <w:sz w:val="18"/>
                <w:szCs w:val="18"/>
                <w:u w:val="none"/>
              </w:rPr>
            </w:pPr>
          </w:p>
        </w:tc>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62F9E506">
            <w:pPr>
              <w:jc w:val="center"/>
              <w:rPr>
                <w:rFonts w:hint="eastAsia" w:ascii="宋体" w:hAnsi="宋体" w:eastAsia="宋体" w:cs="宋体"/>
                <w:i w:val="0"/>
                <w:iCs w:val="0"/>
                <w:color w:val="000000"/>
                <w:sz w:val="18"/>
                <w:szCs w:val="18"/>
                <w:u w:val="none"/>
              </w:rPr>
            </w:pPr>
          </w:p>
        </w:tc>
        <w:tc>
          <w:tcPr>
            <w:tcW w:w="356" w:type="pct"/>
            <w:tcBorders>
              <w:top w:val="single" w:color="000000" w:sz="4" w:space="0"/>
              <w:left w:val="single" w:color="000000" w:sz="4" w:space="0"/>
              <w:bottom w:val="nil"/>
              <w:right w:val="single" w:color="000000" w:sz="4" w:space="0"/>
            </w:tcBorders>
            <w:shd w:val="clear" w:color="auto" w:fill="auto"/>
            <w:vAlign w:val="center"/>
          </w:tcPr>
          <w:p w14:paraId="10F6DC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设备购置照相机数量</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411D60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50BC95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4EB452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068DF5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3828B3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45F131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40CCCD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5A2AD5A0">
            <w:pPr>
              <w:jc w:val="center"/>
              <w:rPr>
                <w:rFonts w:hint="eastAsia" w:ascii="宋体" w:hAnsi="宋体" w:eastAsia="宋体" w:cs="宋体"/>
                <w:i w:val="0"/>
                <w:iCs w:val="0"/>
                <w:color w:val="000000"/>
                <w:sz w:val="18"/>
                <w:szCs w:val="18"/>
                <w:u w:val="none"/>
              </w:rPr>
            </w:pPr>
          </w:p>
        </w:tc>
      </w:tr>
      <w:tr w14:paraId="15B136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28DF595E">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56A7379D">
            <w:pPr>
              <w:jc w:val="center"/>
              <w:rPr>
                <w:rFonts w:hint="eastAsia" w:ascii="宋体" w:hAnsi="宋体" w:eastAsia="宋体" w:cs="宋体"/>
                <w:i w:val="0"/>
                <w:iCs w:val="0"/>
                <w:color w:val="000000"/>
                <w:sz w:val="18"/>
                <w:szCs w:val="18"/>
                <w:u w:val="none"/>
              </w:rPr>
            </w:pPr>
          </w:p>
        </w:tc>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65926545">
            <w:pPr>
              <w:jc w:val="center"/>
              <w:rPr>
                <w:rFonts w:hint="eastAsia" w:ascii="宋体" w:hAnsi="宋体" w:eastAsia="宋体" w:cs="宋体"/>
                <w:i w:val="0"/>
                <w:iCs w:val="0"/>
                <w:color w:val="000000"/>
                <w:sz w:val="18"/>
                <w:szCs w:val="18"/>
                <w:u w:val="none"/>
              </w:rPr>
            </w:pPr>
          </w:p>
        </w:tc>
        <w:tc>
          <w:tcPr>
            <w:tcW w:w="356" w:type="pct"/>
            <w:tcBorders>
              <w:top w:val="single" w:color="000000" w:sz="4" w:space="0"/>
              <w:left w:val="single" w:color="000000" w:sz="4" w:space="0"/>
              <w:bottom w:val="nil"/>
              <w:right w:val="single" w:color="000000" w:sz="4" w:space="0"/>
            </w:tcBorders>
            <w:shd w:val="clear" w:color="auto" w:fill="auto"/>
            <w:vAlign w:val="center"/>
          </w:tcPr>
          <w:p w14:paraId="5BE9CA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设备购置电子密码文件柜数</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6D5F3A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551324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4FFADB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324F80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6ACF57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26C665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571013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33EA8DCA">
            <w:pPr>
              <w:jc w:val="center"/>
              <w:rPr>
                <w:rFonts w:hint="eastAsia" w:ascii="宋体" w:hAnsi="宋体" w:eastAsia="宋体" w:cs="宋体"/>
                <w:i w:val="0"/>
                <w:iCs w:val="0"/>
                <w:color w:val="000000"/>
                <w:sz w:val="18"/>
                <w:szCs w:val="18"/>
                <w:u w:val="none"/>
              </w:rPr>
            </w:pPr>
          </w:p>
        </w:tc>
      </w:tr>
      <w:tr w14:paraId="50A60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005AF564">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463FF56C">
            <w:pPr>
              <w:jc w:val="center"/>
              <w:rPr>
                <w:rFonts w:hint="eastAsia" w:ascii="宋体" w:hAnsi="宋体" w:eastAsia="宋体" w:cs="宋体"/>
                <w:i w:val="0"/>
                <w:iCs w:val="0"/>
                <w:color w:val="000000"/>
                <w:sz w:val="18"/>
                <w:szCs w:val="18"/>
                <w:u w:val="none"/>
              </w:rPr>
            </w:pPr>
          </w:p>
        </w:tc>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767D0FD3">
            <w:pPr>
              <w:jc w:val="center"/>
              <w:rPr>
                <w:rFonts w:hint="eastAsia" w:ascii="宋体" w:hAnsi="宋体" w:eastAsia="宋体" w:cs="宋体"/>
                <w:i w:val="0"/>
                <w:iCs w:val="0"/>
                <w:color w:val="000000"/>
                <w:sz w:val="18"/>
                <w:szCs w:val="18"/>
                <w:u w:val="none"/>
              </w:rPr>
            </w:pPr>
          </w:p>
        </w:tc>
        <w:tc>
          <w:tcPr>
            <w:tcW w:w="356" w:type="pct"/>
            <w:tcBorders>
              <w:top w:val="single" w:color="000000" w:sz="4" w:space="0"/>
              <w:left w:val="single" w:color="000000" w:sz="4" w:space="0"/>
              <w:bottom w:val="nil"/>
              <w:right w:val="single" w:color="000000" w:sz="4" w:space="0"/>
            </w:tcBorders>
            <w:shd w:val="clear" w:color="auto" w:fill="auto"/>
            <w:vAlign w:val="center"/>
          </w:tcPr>
          <w:p w14:paraId="4F611A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设备购置监控设备套件数</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688EA1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370707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676701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2E06CE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6792B1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4BC628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3E5BCA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532A2A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根据实际工作情况无需求</w:t>
            </w:r>
          </w:p>
        </w:tc>
      </w:tr>
      <w:tr w14:paraId="40AB40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183FF60D">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7AAD4245">
            <w:pPr>
              <w:jc w:val="center"/>
              <w:rPr>
                <w:rFonts w:hint="eastAsia" w:ascii="宋体" w:hAnsi="宋体" w:eastAsia="宋体" w:cs="宋体"/>
                <w:i w:val="0"/>
                <w:iCs w:val="0"/>
                <w:color w:val="000000"/>
                <w:sz w:val="18"/>
                <w:szCs w:val="18"/>
                <w:u w:val="none"/>
              </w:rPr>
            </w:pPr>
          </w:p>
        </w:tc>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7CD324BA">
            <w:pPr>
              <w:jc w:val="center"/>
              <w:rPr>
                <w:rFonts w:hint="eastAsia" w:ascii="宋体" w:hAnsi="宋体" w:eastAsia="宋体" w:cs="宋体"/>
                <w:i w:val="0"/>
                <w:iCs w:val="0"/>
                <w:color w:val="000000"/>
                <w:sz w:val="18"/>
                <w:szCs w:val="18"/>
                <w:u w:val="none"/>
              </w:rPr>
            </w:pPr>
          </w:p>
        </w:tc>
        <w:tc>
          <w:tcPr>
            <w:tcW w:w="356" w:type="pct"/>
            <w:tcBorders>
              <w:top w:val="single" w:color="000000" w:sz="4" w:space="0"/>
              <w:left w:val="single" w:color="000000" w:sz="4" w:space="0"/>
              <w:bottom w:val="nil"/>
              <w:right w:val="single" w:color="000000" w:sz="4" w:space="0"/>
            </w:tcBorders>
            <w:shd w:val="clear" w:color="auto" w:fill="auto"/>
            <w:vAlign w:val="center"/>
          </w:tcPr>
          <w:p w14:paraId="6AADEF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设备购置档案电动装订机数</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358D66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64A6AE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529736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1A9EB6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0D662E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335F21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1FABBE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39EB1D02">
            <w:pPr>
              <w:jc w:val="center"/>
              <w:rPr>
                <w:rFonts w:hint="eastAsia" w:ascii="宋体" w:hAnsi="宋体" w:eastAsia="宋体" w:cs="宋体"/>
                <w:i w:val="0"/>
                <w:iCs w:val="0"/>
                <w:color w:val="000000"/>
                <w:sz w:val="18"/>
                <w:szCs w:val="18"/>
                <w:u w:val="none"/>
              </w:rPr>
            </w:pPr>
          </w:p>
        </w:tc>
      </w:tr>
      <w:tr w14:paraId="2EFC3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587AAC93">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2D096A17">
            <w:pPr>
              <w:jc w:val="center"/>
              <w:rPr>
                <w:rFonts w:hint="eastAsia" w:ascii="宋体" w:hAnsi="宋体" w:eastAsia="宋体" w:cs="宋体"/>
                <w:i w:val="0"/>
                <w:iCs w:val="0"/>
                <w:color w:val="000000"/>
                <w:sz w:val="18"/>
                <w:szCs w:val="18"/>
                <w:u w:val="none"/>
              </w:rPr>
            </w:pPr>
          </w:p>
        </w:tc>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7C5BEB99">
            <w:pPr>
              <w:jc w:val="center"/>
              <w:rPr>
                <w:rFonts w:hint="eastAsia" w:ascii="宋体" w:hAnsi="宋体" w:eastAsia="宋体" w:cs="宋体"/>
                <w:i w:val="0"/>
                <w:iCs w:val="0"/>
                <w:color w:val="000000"/>
                <w:sz w:val="18"/>
                <w:szCs w:val="18"/>
                <w:u w:val="none"/>
              </w:rPr>
            </w:pPr>
          </w:p>
        </w:tc>
        <w:tc>
          <w:tcPr>
            <w:tcW w:w="356" w:type="pct"/>
            <w:tcBorders>
              <w:top w:val="single" w:color="000000" w:sz="4" w:space="0"/>
              <w:left w:val="single" w:color="000000" w:sz="4" w:space="0"/>
              <w:bottom w:val="nil"/>
              <w:right w:val="single" w:color="000000" w:sz="4" w:space="0"/>
            </w:tcBorders>
            <w:shd w:val="clear" w:color="auto" w:fill="auto"/>
            <w:vAlign w:val="center"/>
          </w:tcPr>
          <w:p w14:paraId="07BAEC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设备购置电暖气数量</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234FE2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7E0853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65B05E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1B67FF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012D69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18C919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58E9B7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2CA859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根据实际工作情况无需求</w:t>
            </w:r>
          </w:p>
        </w:tc>
      </w:tr>
      <w:tr w14:paraId="5FA30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2D47C40B">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5D5DD856">
            <w:pPr>
              <w:jc w:val="center"/>
              <w:rPr>
                <w:rFonts w:hint="eastAsia" w:ascii="宋体" w:hAnsi="宋体" w:eastAsia="宋体" w:cs="宋体"/>
                <w:i w:val="0"/>
                <w:iCs w:val="0"/>
                <w:color w:val="000000"/>
                <w:sz w:val="18"/>
                <w:szCs w:val="18"/>
                <w:u w:val="none"/>
              </w:rPr>
            </w:pPr>
          </w:p>
        </w:tc>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0660F0E9">
            <w:pPr>
              <w:jc w:val="center"/>
              <w:rPr>
                <w:rFonts w:hint="eastAsia" w:ascii="宋体" w:hAnsi="宋体" w:eastAsia="宋体" w:cs="宋体"/>
                <w:i w:val="0"/>
                <w:iCs w:val="0"/>
                <w:color w:val="000000"/>
                <w:sz w:val="18"/>
                <w:szCs w:val="18"/>
                <w:u w:val="none"/>
              </w:rPr>
            </w:pPr>
          </w:p>
        </w:tc>
        <w:tc>
          <w:tcPr>
            <w:tcW w:w="356" w:type="pct"/>
            <w:tcBorders>
              <w:top w:val="single" w:color="000000" w:sz="4" w:space="0"/>
              <w:left w:val="single" w:color="000000" w:sz="4" w:space="0"/>
              <w:bottom w:val="nil"/>
              <w:right w:val="single" w:color="000000" w:sz="4" w:space="0"/>
            </w:tcBorders>
            <w:shd w:val="clear" w:color="auto" w:fill="auto"/>
            <w:vAlign w:val="center"/>
          </w:tcPr>
          <w:p w14:paraId="32E22A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办公费保障工作期限</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1D38AD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0B8710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387E1B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734D08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3F84D8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7970AB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236D35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1016B4C8">
            <w:pPr>
              <w:jc w:val="center"/>
              <w:rPr>
                <w:rFonts w:hint="eastAsia" w:ascii="宋体" w:hAnsi="宋体" w:eastAsia="宋体" w:cs="宋体"/>
                <w:i w:val="0"/>
                <w:iCs w:val="0"/>
                <w:color w:val="000000"/>
                <w:sz w:val="18"/>
                <w:szCs w:val="18"/>
                <w:u w:val="none"/>
              </w:rPr>
            </w:pPr>
          </w:p>
        </w:tc>
      </w:tr>
      <w:tr w14:paraId="51A50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3075B9E5">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0512E5E1">
            <w:pPr>
              <w:jc w:val="center"/>
              <w:rPr>
                <w:rFonts w:hint="eastAsia" w:ascii="宋体" w:hAnsi="宋体" w:eastAsia="宋体" w:cs="宋体"/>
                <w:i w:val="0"/>
                <w:iCs w:val="0"/>
                <w:color w:val="000000"/>
                <w:sz w:val="18"/>
                <w:szCs w:val="18"/>
                <w:u w:val="none"/>
              </w:rPr>
            </w:pPr>
          </w:p>
        </w:tc>
        <w:tc>
          <w:tcPr>
            <w:tcW w:w="388" w:type="pct"/>
            <w:vMerge w:val="restart"/>
            <w:tcBorders>
              <w:top w:val="single" w:color="000000" w:sz="4" w:space="0"/>
              <w:left w:val="single" w:color="000000" w:sz="4" w:space="0"/>
              <w:bottom w:val="nil"/>
              <w:right w:val="single" w:color="000000" w:sz="4" w:space="0"/>
            </w:tcBorders>
            <w:shd w:val="clear" w:color="auto" w:fill="auto"/>
            <w:vAlign w:val="center"/>
          </w:tcPr>
          <w:p w14:paraId="59471C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21F2D7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培训人员到位率</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5FDBD6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184F60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2E9DC5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20364A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7F8895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513414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760697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76AD8DC0">
            <w:pPr>
              <w:jc w:val="center"/>
              <w:rPr>
                <w:rFonts w:hint="eastAsia" w:ascii="宋体" w:hAnsi="宋体" w:eastAsia="宋体" w:cs="宋体"/>
                <w:i w:val="0"/>
                <w:iCs w:val="0"/>
                <w:color w:val="000000"/>
                <w:sz w:val="18"/>
                <w:szCs w:val="18"/>
                <w:u w:val="none"/>
              </w:rPr>
            </w:pPr>
          </w:p>
        </w:tc>
      </w:tr>
      <w:tr w14:paraId="58F1B8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0AAD7557">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14FBACDB">
            <w:pPr>
              <w:jc w:val="center"/>
              <w:rPr>
                <w:rFonts w:hint="eastAsia" w:ascii="宋体" w:hAnsi="宋体" w:eastAsia="宋体" w:cs="宋体"/>
                <w:i w:val="0"/>
                <w:iCs w:val="0"/>
                <w:color w:val="000000"/>
                <w:sz w:val="18"/>
                <w:szCs w:val="18"/>
                <w:u w:val="none"/>
              </w:rPr>
            </w:pPr>
          </w:p>
        </w:tc>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6289D2AC">
            <w:pPr>
              <w:jc w:val="center"/>
              <w:rPr>
                <w:rFonts w:hint="eastAsia" w:ascii="宋体" w:hAnsi="宋体" w:eastAsia="宋体" w:cs="宋体"/>
                <w:i w:val="0"/>
                <w:iCs w:val="0"/>
                <w:color w:val="000000"/>
                <w:sz w:val="18"/>
                <w:szCs w:val="18"/>
                <w:u w:val="none"/>
              </w:rPr>
            </w:pPr>
          </w:p>
        </w:tc>
        <w:tc>
          <w:tcPr>
            <w:tcW w:w="356" w:type="pct"/>
            <w:tcBorders>
              <w:top w:val="single" w:color="000000" w:sz="4" w:space="0"/>
              <w:left w:val="single" w:color="000000" w:sz="4" w:space="0"/>
              <w:bottom w:val="nil"/>
              <w:right w:val="single" w:color="000000" w:sz="4" w:space="0"/>
            </w:tcBorders>
            <w:shd w:val="clear" w:color="auto" w:fill="auto"/>
            <w:vAlign w:val="center"/>
          </w:tcPr>
          <w:p w14:paraId="1CA4EC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印刷品产出合格率</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71B461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27C645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363DB5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526809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034929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1436BD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57B347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2C93AF78">
            <w:pPr>
              <w:jc w:val="center"/>
              <w:rPr>
                <w:rFonts w:hint="eastAsia" w:ascii="宋体" w:hAnsi="宋体" w:eastAsia="宋体" w:cs="宋体"/>
                <w:i w:val="0"/>
                <w:iCs w:val="0"/>
                <w:color w:val="000000"/>
                <w:sz w:val="18"/>
                <w:szCs w:val="18"/>
                <w:u w:val="none"/>
              </w:rPr>
            </w:pPr>
          </w:p>
        </w:tc>
      </w:tr>
      <w:tr w14:paraId="467BB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149EB20D">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0B704C5A">
            <w:pPr>
              <w:jc w:val="center"/>
              <w:rPr>
                <w:rFonts w:hint="eastAsia" w:ascii="宋体" w:hAnsi="宋体" w:eastAsia="宋体" w:cs="宋体"/>
                <w:i w:val="0"/>
                <w:iCs w:val="0"/>
                <w:color w:val="000000"/>
                <w:sz w:val="18"/>
                <w:szCs w:val="18"/>
                <w:u w:val="none"/>
              </w:rPr>
            </w:pPr>
          </w:p>
        </w:tc>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47F477AF">
            <w:pPr>
              <w:jc w:val="center"/>
              <w:rPr>
                <w:rFonts w:hint="eastAsia" w:ascii="宋体" w:hAnsi="宋体" w:eastAsia="宋体" w:cs="宋体"/>
                <w:i w:val="0"/>
                <w:iCs w:val="0"/>
                <w:color w:val="000000"/>
                <w:sz w:val="18"/>
                <w:szCs w:val="18"/>
                <w:u w:val="none"/>
              </w:rPr>
            </w:pPr>
          </w:p>
        </w:tc>
        <w:tc>
          <w:tcPr>
            <w:tcW w:w="356" w:type="pct"/>
            <w:tcBorders>
              <w:top w:val="single" w:color="000000" w:sz="4" w:space="0"/>
              <w:left w:val="single" w:color="000000" w:sz="4" w:space="0"/>
              <w:bottom w:val="nil"/>
              <w:right w:val="single" w:color="000000" w:sz="4" w:space="0"/>
            </w:tcBorders>
            <w:shd w:val="clear" w:color="auto" w:fill="auto"/>
            <w:vAlign w:val="center"/>
          </w:tcPr>
          <w:p w14:paraId="7A7305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下乡基层工作达标率</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1F3A95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2CACF7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3213C1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2A0594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5521CE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0458C2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48A218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1A508444">
            <w:pPr>
              <w:jc w:val="center"/>
              <w:rPr>
                <w:rFonts w:hint="eastAsia" w:ascii="宋体" w:hAnsi="宋体" w:eastAsia="宋体" w:cs="宋体"/>
                <w:i w:val="0"/>
                <w:iCs w:val="0"/>
                <w:color w:val="000000"/>
                <w:sz w:val="18"/>
                <w:szCs w:val="18"/>
                <w:u w:val="none"/>
              </w:rPr>
            </w:pPr>
          </w:p>
        </w:tc>
      </w:tr>
      <w:tr w14:paraId="6FB97C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109E1CB2">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560F4564">
            <w:pPr>
              <w:jc w:val="center"/>
              <w:rPr>
                <w:rFonts w:hint="eastAsia" w:ascii="宋体" w:hAnsi="宋体" w:eastAsia="宋体" w:cs="宋体"/>
                <w:i w:val="0"/>
                <w:iCs w:val="0"/>
                <w:color w:val="000000"/>
                <w:sz w:val="18"/>
                <w:szCs w:val="18"/>
                <w:u w:val="none"/>
              </w:rPr>
            </w:pPr>
          </w:p>
        </w:tc>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4D292EFC">
            <w:pPr>
              <w:jc w:val="center"/>
              <w:rPr>
                <w:rFonts w:hint="eastAsia" w:ascii="宋体" w:hAnsi="宋体" w:eastAsia="宋体" w:cs="宋体"/>
                <w:i w:val="0"/>
                <w:iCs w:val="0"/>
                <w:color w:val="000000"/>
                <w:sz w:val="18"/>
                <w:szCs w:val="18"/>
                <w:u w:val="none"/>
              </w:rPr>
            </w:pPr>
          </w:p>
        </w:tc>
        <w:tc>
          <w:tcPr>
            <w:tcW w:w="356" w:type="pct"/>
            <w:tcBorders>
              <w:top w:val="single" w:color="000000" w:sz="4" w:space="0"/>
              <w:left w:val="single" w:color="000000" w:sz="4" w:space="0"/>
              <w:bottom w:val="nil"/>
              <w:right w:val="single" w:color="000000" w:sz="4" w:space="0"/>
            </w:tcBorders>
            <w:shd w:val="clear" w:color="auto" w:fill="auto"/>
            <w:vAlign w:val="center"/>
          </w:tcPr>
          <w:p w14:paraId="27D444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设备购置使用率</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492C9E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1E5F9B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30056B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357327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616648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62682D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27F69B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525B18BD">
            <w:pPr>
              <w:jc w:val="center"/>
              <w:rPr>
                <w:rFonts w:hint="eastAsia" w:ascii="宋体" w:hAnsi="宋体" w:eastAsia="宋体" w:cs="宋体"/>
                <w:i w:val="0"/>
                <w:iCs w:val="0"/>
                <w:color w:val="000000"/>
                <w:sz w:val="18"/>
                <w:szCs w:val="18"/>
                <w:u w:val="none"/>
              </w:rPr>
            </w:pPr>
          </w:p>
        </w:tc>
      </w:tr>
      <w:tr w14:paraId="67E74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32159C52">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05B6608A">
            <w:pPr>
              <w:jc w:val="center"/>
              <w:rPr>
                <w:rFonts w:hint="eastAsia" w:ascii="宋体" w:hAnsi="宋体" w:eastAsia="宋体" w:cs="宋体"/>
                <w:i w:val="0"/>
                <w:iCs w:val="0"/>
                <w:color w:val="000000"/>
                <w:sz w:val="18"/>
                <w:szCs w:val="18"/>
                <w:u w:val="none"/>
              </w:rPr>
            </w:pPr>
          </w:p>
        </w:tc>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56D05B1B">
            <w:pPr>
              <w:jc w:val="center"/>
              <w:rPr>
                <w:rFonts w:hint="eastAsia" w:ascii="宋体" w:hAnsi="宋体" w:eastAsia="宋体" w:cs="宋体"/>
                <w:i w:val="0"/>
                <w:iCs w:val="0"/>
                <w:color w:val="000000"/>
                <w:sz w:val="18"/>
                <w:szCs w:val="18"/>
                <w:u w:val="none"/>
              </w:rPr>
            </w:pPr>
          </w:p>
        </w:tc>
        <w:tc>
          <w:tcPr>
            <w:tcW w:w="356" w:type="pct"/>
            <w:tcBorders>
              <w:top w:val="single" w:color="000000" w:sz="4" w:space="0"/>
              <w:left w:val="single" w:color="000000" w:sz="4" w:space="0"/>
              <w:bottom w:val="nil"/>
              <w:right w:val="single" w:color="000000" w:sz="4" w:space="0"/>
            </w:tcBorders>
            <w:shd w:val="clear" w:color="auto" w:fill="auto"/>
            <w:vAlign w:val="center"/>
          </w:tcPr>
          <w:p w14:paraId="66206B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办公有效保障率</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1A5B69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6B7467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2C75C0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70C198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5C5F2F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47186B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16F6EC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21C1FA9D">
            <w:pPr>
              <w:jc w:val="center"/>
              <w:rPr>
                <w:rFonts w:hint="eastAsia" w:ascii="宋体" w:hAnsi="宋体" w:eastAsia="宋体" w:cs="宋体"/>
                <w:i w:val="0"/>
                <w:iCs w:val="0"/>
                <w:color w:val="000000"/>
                <w:sz w:val="18"/>
                <w:szCs w:val="18"/>
                <w:u w:val="none"/>
              </w:rPr>
            </w:pPr>
          </w:p>
        </w:tc>
      </w:tr>
      <w:tr w14:paraId="5551D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6AD3BEF6">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191FD51B">
            <w:pPr>
              <w:jc w:val="center"/>
              <w:rPr>
                <w:rFonts w:hint="eastAsia" w:ascii="宋体" w:hAnsi="宋体" w:eastAsia="宋体" w:cs="宋体"/>
                <w:i w:val="0"/>
                <w:iCs w:val="0"/>
                <w:color w:val="000000"/>
                <w:sz w:val="18"/>
                <w:szCs w:val="18"/>
                <w:u w:val="none"/>
              </w:rPr>
            </w:pPr>
          </w:p>
        </w:tc>
        <w:tc>
          <w:tcPr>
            <w:tcW w:w="388" w:type="pct"/>
            <w:vMerge w:val="restart"/>
            <w:tcBorders>
              <w:top w:val="single" w:color="000000" w:sz="4" w:space="0"/>
              <w:left w:val="single" w:color="000000" w:sz="4" w:space="0"/>
              <w:bottom w:val="nil"/>
              <w:right w:val="single" w:color="000000" w:sz="4" w:space="0"/>
            </w:tcBorders>
            <w:shd w:val="clear" w:color="auto" w:fill="auto"/>
            <w:vAlign w:val="center"/>
          </w:tcPr>
          <w:p w14:paraId="049B8E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6B2099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项目资金支出及时率</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1F6F43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0BA2CE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2BCA11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3E1FEF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4274B3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488FC6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5C0871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6DAD03CF">
            <w:pPr>
              <w:jc w:val="center"/>
              <w:rPr>
                <w:rFonts w:hint="eastAsia" w:ascii="宋体" w:hAnsi="宋体" w:eastAsia="宋体" w:cs="宋体"/>
                <w:i w:val="0"/>
                <w:iCs w:val="0"/>
                <w:color w:val="000000"/>
                <w:sz w:val="18"/>
                <w:szCs w:val="18"/>
                <w:u w:val="none"/>
              </w:rPr>
            </w:pPr>
          </w:p>
        </w:tc>
      </w:tr>
      <w:tr w14:paraId="785BD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28E48FD7">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26732644">
            <w:pPr>
              <w:jc w:val="center"/>
              <w:rPr>
                <w:rFonts w:hint="eastAsia" w:ascii="宋体" w:hAnsi="宋体" w:eastAsia="宋体" w:cs="宋体"/>
                <w:i w:val="0"/>
                <w:iCs w:val="0"/>
                <w:color w:val="000000"/>
                <w:sz w:val="18"/>
                <w:szCs w:val="18"/>
                <w:u w:val="none"/>
              </w:rPr>
            </w:pPr>
          </w:p>
        </w:tc>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27CF3A50">
            <w:pPr>
              <w:jc w:val="center"/>
              <w:rPr>
                <w:rFonts w:hint="eastAsia" w:ascii="宋体" w:hAnsi="宋体" w:eastAsia="宋体" w:cs="宋体"/>
                <w:i w:val="0"/>
                <w:iCs w:val="0"/>
                <w:color w:val="000000"/>
                <w:sz w:val="18"/>
                <w:szCs w:val="18"/>
                <w:u w:val="none"/>
              </w:rPr>
            </w:pPr>
          </w:p>
        </w:tc>
        <w:tc>
          <w:tcPr>
            <w:tcW w:w="356" w:type="pct"/>
            <w:tcBorders>
              <w:top w:val="single" w:color="000000" w:sz="4" w:space="0"/>
              <w:left w:val="single" w:color="000000" w:sz="4" w:space="0"/>
              <w:bottom w:val="nil"/>
              <w:right w:val="single" w:color="000000" w:sz="4" w:space="0"/>
            </w:tcBorders>
            <w:shd w:val="clear" w:color="auto" w:fill="auto"/>
            <w:vAlign w:val="center"/>
          </w:tcPr>
          <w:p w14:paraId="58A515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项目工作完成时间</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7BDF73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7D585E5D">
            <w:pPr>
              <w:jc w:val="center"/>
              <w:rPr>
                <w:rFonts w:hint="eastAsia" w:ascii="宋体" w:hAnsi="宋体" w:eastAsia="宋体" w:cs="宋体"/>
                <w:i w:val="0"/>
                <w:iCs w:val="0"/>
                <w:color w:val="000000"/>
                <w:sz w:val="18"/>
                <w:szCs w:val="18"/>
                <w:u w:val="none"/>
              </w:rPr>
            </w:pPr>
          </w:p>
        </w:tc>
        <w:tc>
          <w:tcPr>
            <w:tcW w:w="357" w:type="pct"/>
            <w:tcBorders>
              <w:top w:val="single" w:color="000000" w:sz="4" w:space="0"/>
              <w:left w:val="single" w:color="000000" w:sz="4" w:space="0"/>
              <w:bottom w:val="nil"/>
              <w:right w:val="single" w:color="000000" w:sz="4" w:space="0"/>
            </w:tcBorders>
            <w:shd w:val="clear" w:color="auto" w:fill="auto"/>
            <w:vAlign w:val="center"/>
          </w:tcPr>
          <w:p w14:paraId="334716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2022年12月31日前</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69CF22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2023年12月31日</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2A145767">
            <w:pPr>
              <w:jc w:val="center"/>
              <w:rPr>
                <w:rFonts w:hint="eastAsia" w:ascii="宋体" w:hAnsi="宋体" w:eastAsia="宋体" w:cs="宋体"/>
                <w:i w:val="0"/>
                <w:iCs w:val="0"/>
                <w:color w:val="000000"/>
                <w:sz w:val="18"/>
                <w:szCs w:val="18"/>
                <w:u w:val="none"/>
              </w:rPr>
            </w:pPr>
          </w:p>
        </w:tc>
        <w:tc>
          <w:tcPr>
            <w:tcW w:w="536" w:type="pct"/>
            <w:tcBorders>
              <w:top w:val="single" w:color="000000" w:sz="4" w:space="0"/>
              <w:left w:val="single" w:color="000000" w:sz="4" w:space="0"/>
              <w:bottom w:val="nil"/>
              <w:right w:val="single" w:color="000000" w:sz="4" w:space="0"/>
            </w:tcBorders>
            <w:shd w:val="clear" w:color="auto" w:fill="auto"/>
            <w:vAlign w:val="center"/>
          </w:tcPr>
          <w:p w14:paraId="0746DD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516061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0F14EC8D">
            <w:pPr>
              <w:jc w:val="center"/>
              <w:rPr>
                <w:rFonts w:hint="eastAsia" w:ascii="宋体" w:hAnsi="宋体" w:eastAsia="宋体" w:cs="宋体"/>
                <w:i w:val="0"/>
                <w:iCs w:val="0"/>
                <w:color w:val="000000"/>
                <w:sz w:val="18"/>
                <w:szCs w:val="18"/>
                <w:u w:val="none"/>
              </w:rPr>
            </w:pPr>
          </w:p>
        </w:tc>
      </w:tr>
      <w:tr w14:paraId="513E6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0EC1DE8C">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48E998AC">
            <w:pPr>
              <w:jc w:val="center"/>
              <w:rPr>
                <w:rFonts w:hint="eastAsia" w:ascii="宋体" w:hAnsi="宋体" w:eastAsia="宋体" w:cs="宋体"/>
                <w:i w:val="0"/>
                <w:iCs w:val="0"/>
                <w:color w:val="000000"/>
                <w:sz w:val="18"/>
                <w:szCs w:val="18"/>
                <w:u w:val="none"/>
              </w:rPr>
            </w:pPr>
          </w:p>
        </w:tc>
        <w:tc>
          <w:tcPr>
            <w:tcW w:w="388" w:type="pct"/>
            <w:vMerge w:val="restart"/>
            <w:tcBorders>
              <w:top w:val="single" w:color="000000" w:sz="4" w:space="0"/>
              <w:left w:val="single" w:color="000000" w:sz="4" w:space="0"/>
              <w:bottom w:val="nil"/>
              <w:right w:val="single" w:color="000000" w:sz="4" w:space="0"/>
            </w:tcBorders>
            <w:shd w:val="clear" w:color="auto" w:fill="auto"/>
            <w:vAlign w:val="center"/>
          </w:tcPr>
          <w:p w14:paraId="3EEFEB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4AD3E0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基层业务培训费用</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6105FF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2FEAE2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6FB47C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708ABB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271A6D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105537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0E6C6A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2BB2644A">
            <w:pPr>
              <w:jc w:val="center"/>
              <w:rPr>
                <w:rFonts w:hint="eastAsia" w:ascii="宋体" w:hAnsi="宋体" w:eastAsia="宋体" w:cs="宋体"/>
                <w:i w:val="0"/>
                <w:iCs w:val="0"/>
                <w:color w:val="000000"/>
                <w:sz w:val="18"/>
                <w:szCs w:val="18"/>
                <w:u w:val="none"/>
              </w:rPr>
            </w:pPr>
          </w:p>
        </w:tc>
      </w:tr>
      <w:tr w14:paraId="3802E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44811053">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4D74E43E">
            <w:pPr>
              <w:jc w:val="center"/>
              <w:rPr>
                <w:rFonts w:hint="eastAsia" w:ascii="宋体" w:hAnsi="宋体" w:eastAsia="宋体" w:cs="宋体"/>
                <w:i w:val="0"/>
                <w:iCs w:val="0"/>
                <w:color w:val="000000"/>
                <w:sz w:val="18"/>
                <w:szCs w:val="18"/>
                <w:u w:val="none"/>
              </w:rPr>
            </w:pPr>
          </w:p>
        </w:tc>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1BCBA0FB">
            <w:pPr>
              <w:jc w:val="center"/>
              <w:rPr>
                <w:rFonts w:hint="eastAsia" w:ascii="宋体" w:hAnsi="宋体" w:eastAsia="宋体" w:cs="宋体"/>
                <w:i w:val="0"/>
                <w:iCs w:val="0"/>
                <w:color w:val="000000"/>
                <w:sz w:val="18"/>
                <w:szCs w:val="18"/>
                <w:u w:val="none"/>
              </w:rPr>
            </w:pPr>
          </w:p>
        </w:tc>
        <w:tc>
          <w:tcPr>
            <w:tcW w:w="356" w:type="pct"/>
            <w:tcBorders>
              <w:top w:val="single" w:color="000000" w:sz="4" w:space="0"/>
              <w:left w:val="single" w:color="000000" w:sz="4" w:space="0"/>
              <w:bottom w:val="nil"/>
              <w:right w:val="single" w:color="000000" w:sz="4" w:space="0"/>
            </w:tcBorders>
            <w:shd w:val="clear" w:color="auto" w:fill="auto"/>
            <w:vAlign w:val="center"/>
          </w:tcPr>
          <w:p w14:paraId="4C6514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宣传印刷费用</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600F70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200852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234336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0522A6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0.97</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4B91F3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04CACF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502936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3A783625">
            <w:pPr>
              <w:jc w:val="center"/>
              <w:rPr>
                <w:rFonts w:hint="eastAsia" w:ascii="宋体" w:hAnsi="宋体" w:eastAsia="宋体" w:cs="宋体"/>
                <w:i w:val="0"/>
                <w:iCs w:val="0"/>
                <w:color w:val="000000"/>
                <w:sz w:val="18"/>
                <w:szCs w:val="18"/>
                <w:u w:val="none"/>
              </w:rPr>
            </w:pPr>
          </w:p>
        </w:tc>
      </w:tr>
      <w:tr w14:paraId="7DE31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2F544676">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22FE6A87">
            <w:pPr>
              <w:jc w:val="center"/>
              <w:rPr>
                <w:rFonts w:hint="eastAsia" w:ascii="宋体" w:hAnsi="宋体" w:eastAsia="宋体" w:cs="宋体"/>
                <w:i w:val="0"/>
                <w:iCs w:val="0"/>
                <w:color w:val="000000"/>
                <w:sz w:val="18"/>
                <w:szCs w:val="18"/>
                <w:u w:val="none"/>
              </w:rPr>
            </w:pPr>
          </w:p>
        </w:tc>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78E4E838">
            <w:pPr>
              <w:jc w:val="center"/>
              <w:rPr>
                <w:rFonts w:hint="eastAsia" w:ascii="宋体" w:hAnsi="宋体" w:eastAsia="宋体" w:cs="宋体"/>
                <w:i w:val="0"/>
                <w:iCs w:val="0"/>
                <w:color w:val="000000"/>
                <w:sz w:val="18"/>
                <w:szCs w:val="18"/>
                <w:u w:val="none"/>
              </w:rPr>
            </w:pPr>
          </w:p>
        </w:tc>
        <w:tc>
          <w:tcPr>
            <w:tcW w:w="356" w:type="pct"/>
            <w:tcBorders>
              <w:top w:val="single" w:color="000000" w:sz="4" w:space="0"/>
              <w:left w:val="single" w:color="000000" w:sz="4" w:space="0"/>
              <w:bottom w:val="nil"/>
              <w:right w:val="single" w:color="000000" w:sz="4" w:space="0"/>
            </w:tcBorders>
            <w:shd w:val="clear" w:color="auto" w:fill="auto"/>
            <w:vAlign w:val="center"/>
          </w:tcPr>
          <w:p w14:paraId="67B802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日常业务开展交通费用</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16BFC3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6FAF93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054FD3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357E2C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2.27</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4EF130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75E657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3AE524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1.51</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053EAB3A">
            <w:pPr>
              <w:jc w:val="center"/>
              <w:rPr>
                <w:rFonts w:hint="eastAsia" w:ascii="宋体" w:hAnsi="宋体" w:eastAsia="宋体" w:cs="宋体"/>
                <w:i w:val="0"/>
                <w:iCs w:val="0"/>
                <w:color w:val="000000"/>
                <w:sz w:val="18"/>
                <w:szCs w:val="18"/>
                <w:u w:val="none"/>
              </w:rPr>
            </w:pPr>
          </w:p>
        </w:tc>
      </w:tr>
      <w:tr w14:paraId="4A4F0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2567AF8A">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18C52A75">
            <w:pPr>
              <w:jc w:val="center"/>
              <w:rPr>
                <w:rFonts w:hint="eastAsia" w:ascii="宋体" w:hAnsi="宋体" w:eastAsia="宋体" w:cs="宋体"/>
                <w:i w:val="0"/>
                <w:iCs w:val="0"/>
                <w:color w:val="000000"/>
                <w:sz w:val="18"/>
                <w:szCs w:val="18"/>
                <w:u w:val="none"/>
              </w:rPr>
            </w:pPr>
          </w:p>
        </w:tc>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67EEFD15">
            <w:pPr>
              <w:jc w:val="center"/>
              <w:rPr>
                <w:rFonts w:hint="eastAsia" w:ascii="宋体" w:hAnsi="宋体" w:eastAsia="宋体" w:cs="宋体"/>
                <w:i w:val="0"/>
                <w:iCs w:val="0"/>
                <w:color w:val="000000"/>
                <w:sz w:val="18"/>
                <w:szCs w:val="18"/>
                <w:u w:val="none"/>
              </w:rPr>
            </w:pPr>
          </w:p>
        </w:tc>
        <w:tc>
          <w:tcPr>
            <w:tcW w:w="356" w:type="pct"/>
            <w:tcBorders>
              <w:top w:val="single" w:color="000000" w:sz="4" w:space="0"/>
              <w:left w:val="single" w:color="000000" w:sz="4" w:space="0"/>
              <w:bottom w:val="nil"/>
              <w:right w:val="single" w:color="000000" w:sz="4" w:space="0"/>
            </w:tcBorders>
            <w:shd w:val="clear" w:color="auto" w:fill="auto"/>
            <w:vAlign w:val="center"/>
          </w:tcPr>
          <w:p w14:paraId="271191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日常业务开展差旅费用</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5ED422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287372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4409BB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4C8B97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5039A9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369AB1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3B2EB2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2BD6A49E">
            <w:pPr>
              <w:jc w:val="center"/>
              <w:rPr>
                <w:rFonts w:hint="eastAsia" w:ascii="宋体" w:hAnsi="宋体" w:eastAsia="宋体" w:cs="宋体"/>
                <w:i w:val="0"/>
                <w:iCs w:val="0"/>
                <w:color w:val="000000"/>
                <w:sz w:val="18"/>
                <w:szCs w:val="18"/>
                <w:u w:val="none"/>
              </w:rPr>
            </w:pPr>
          </w:p>
        </w:tc>
      </w:tr>
      <w:tr w14:paraId="4C4F13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664198E0">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5C9A8566">
            <w:pPr>
              <w:jc w:val="center"/>
              <w:rPr>
                <w:rFonts w:hint="eastAsia" w:ascii="宋体" w:hAnsi="宋体" w:eastAsia="宋体" w:cs="宋体"/>
                <w:i w:val="0"/>
                <w:iCs w:val="0"/>
                <w:color w:val="000000"/>
                <w:sz w:val="18"/>
                <w:szCs w:val="18"/>
                <w:u w:val="none"/>
              </w:rPr>
            </w:pPr>
          </w:p>
        </w:tc>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50A0454B">
            <w:pPr>
              <w:jc w:val="center"/>
              <w:rPr>
                <w:rFonts w:hint="eastAsia" w:ascii="宋体" w:hAnsi="宋体" w:eastAsia="宋体" w:cs="宋体"/>
                <w:i w:val="0"/>
                <w:iCs w:val="0"/>
                <w:color w:val="000000"/>
                <w:sz w:val="18"/>
                <w:szCs w:val="18"/>
                <w:u w:val="none"/>
              </w:rPr>
            </w:pPr>
          </w:p>
        </w:tc>
        <w:tc>
          <w:tcPr>
            <w:tcW w:w="356" w:type="pct"/>
            <w:tcBorders>
              <w:top w:val="single" w:color="000000" w:sz="4" w:space="0"/>
              <w:left w:val="single" w:color="000000" w:sz="4" w:space="0"/>
              <w:bottom w:val="nil"/>
              <w:right w:val="single" w:color="000000" w:sz="4" w:space="0"/>
            </w:tcBorders>
            <w:shd w:val="clear" w:color="auto" w:fill="auto"/>
            <w:vAlign w:val="center"/>
          </w:tcPr>
          <w:p w14:paraId="3DF57E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办公设备购置费</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1B4FC4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5DC5E2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09E867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3BF9CB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691D0B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5A7491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67AC17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3E714697">
            <w:pPr>
              <w:jc w:val="center"/>
              <w:rPr>
                <w:rFonts w:hint="eastAsia" w:ascii="宋体" w:hAnsi="宋体" w:eastAsia="宋体" w:cs="宋体"/>
                <w:i w:val="0"/>
                <w:iCs w:val="0"/>
                <w:color w:val="000000"/>
                <w:sz w:val="18"/>
                <w:szCs w:val="18"/>
                <w:u w:val="none"/>
              </w:rPr>
            </w:pPr>
          </w:p>
        </w:tc>
      </w:tr>
      <w:tr w14:paraId="743C6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227317D8">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5117A84E">
            <w:pPr>
              <w:jc w:val="center"/>
              <w:rPr>
                <w:rFonts w:hint="eastAsia" w:ascii="宋体" w:hAnsi="宋体" w:eastAsia="宋体" w:cs="宋体"/>
                <w:i w:val="0"/>
                <w:iCs w:val="0"/>
                <w:color w:val="000000"/>
                <w:sz w:val="18"/>
                <w:szCs w:val="18"/>
                <w:u w:val="none"/>
              </w:rPr>
            </w:pPr>
          </w:p>
        </w:tc>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6A9E4691">
            <w:pPr>
              <w:jc w:val="center"/>
              <w:rPr>
                <w:rFonts w:hint="eastAsia" w:ascii="宋体" w:hAnsi="宋体" w:eastAsia="宋体" w:cs="宋体"/>
                <w:i w:val="0"/>
                <w:iCs w:val="0"/>
                <w:color w:val="000000"/>
                <w:sz w:val="18"/>
                <w:szCs w:val="18"/>
                <w:u w:val="none"/>
              </w:rPr>
            </w:pPr>
          </w:p>
        </w:tc>
        <w:tc>
          <w:tcPr>
            <w:tcW w:w="356" w:type="pct"/>
            <w:tcBorders>
              <w:top w:val="single" w:color="000000" w:sz="4" w:space="0"/>
              <w:left w:val="single" w:color="000000" w:sz="4" w:space="0"/>
              <w:bottom w:val="nil"/>
              <w:right w:val="single" w:color="000000" w:sz="4" w:space="0"/>
            </w:tcBorders>
            <w:shd w:val="clear" w:color="auto" w:fill="auto"/>
            <w:vAlign w:val="center"/>
          </w:tcPr>
          <w:p w14:paraId="348440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开展业务办公费</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48D44C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7C5C84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7F7785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23DA7D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0.47</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4397A7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6FF75C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2309F4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0.94</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130F80BA">
            <w:pPr>
              <w:jc w:val="center"/>
              <w:rPr>
                <w:rFonts w:hint="eastAsia" w:ascii="宋体" w:hAnsi="宋体" w:eastAsia="宋体" w:cs="宋体"/>
                <w:i w:val="0"/>
                <w:iCs w:val="0"/>
                <w:color w:val="000000"/>
                <w:sz w:val="18"/>
                <w:szCs w:val="18"/>
                <w:u w:val="none"/>
              </w:rPr>
            </w:pPr>
          </w:p>
        </w:tc>
      </w:tr>
      <w:tr w14:paraId="20D22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5FD07DCF">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4F3780B3">
            <w:pPr>
              <w:jc w:val="center"/>
              <w:rPr>
                <w:rFonts w:hint="eastAsia" w:ascii="宋体" w:hAnsi="宋体" w:eastAsia="宋体" w:cs="宋体"/>
                <w:i w:val="0"/>
                <w:iCs w:val="0"/>
                <w:color w:val="000000"/>
                <w:sz w:val="18"/>
                <w:szCs w:val="18"/>
                <w:u w:val="none"/>
              </w:rPr>
            </w:pPr>
          </w:p>
        </w:tc>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1FB06269">
            <w:pPr>
              <w:jc w:val="center"/>
              <w:rPr>
                <w:rFonts w:hint="eastAsia" w:ascii="宋体" w:hAnsi="宋体" w:eastAsia="宋体" w:cs="宋体"/>
                <w:i w:val="0"/>
                <w:iCs w:val="0"/>
                <w:color w:val="000000"/>
                <w:sz w:val="18"/>
                <w:szCs w:val="18"/>
                <w:u w:val="none"/>
              </w:rPr>
            </w:pPr>
          </w:p>
        </w:tc>
        <w:tc>
          <w:tcPr>
            <w:tcW w:w="356" w:type="pct"/>
            <w:tcBorders>
              <w:top w:val="single" w:color="000000" w:sz="4" w:space="0"/>
              <w:left w:val="single" w:color="000000" w:sz="4" w:space="0"/>
              <w:bottom w:val="nil"/>
              <w:right w:val="single" w:color="000000" w:sz="4" w:space="0"/>
            </w:tcBorders>
            <w:shd w:val="clear" w:color="auto" w:fill="auto"/>
            <w:vAlign w:val="center"/>
          </w:tcPr>
          <w:p w14:paraId="59B061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项目总成本</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40E900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45A86A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7CCE3D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00554F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4.51</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228375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07353C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282464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732475BD">
            <w:pPr>
              <w:jc w:val="center"/>
              <w:rPr>
                <w:rFonts w:hint="eastAsia" w:ascii="宋体" w:hAnsi="宋体" w:eastAsia="宋体" w:cs="宋体"/>
                <w:i w:val="0"/>
                <w:iCs w:val="0"/>
                <w:color w:val="000000"/>
                <w:sz w:val="18"/>
                <w:szCs w:val="18"/>
                <w:u w:val="none"/>
              </w:rPr>
            </w:pPr>
          </w:p>
        </w:tc>
      </w:tr>
      <w:tr w14:paraId="44991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147FE17B">
            <w:pPr>
              <w:jc w:val="center"/>
              <w:rPr>
                <w:rFonts w:hint="eastAsia" w:ascii="宋体" w:hAnsi="宋体" w:eastAsia="宋体" w:cs="宋体"/>
                <w:i w:val="0"/>
                <w:iCs w:val="0"/>
                <w:color w:val="000000"/>
                <w:sz w:val="18"/>
                <w:szCs w:val="18"/>
                <w:u w:val="none"/>
              </w:rPr>
            </w:pPr>
          </w:p>
        </w:tc>
        <w:tc>
          <w:tcPr>
            <w:tcW w:w="390" w:type="pct"/>
            <w:vMerge w:val="restart"/>
            <w:tcBorders>
              <w:top w:val="single" w:color="000000" w:sz="4" w:space="0"/>
              <w:left w:val="single" w:color="000000" w:sz="4" w:space="0"/>
              <w:bottom w:val="nil"/>
              <w:right w:val="single" w:color="000000" w:sz="4" w:space="0"/>
            </w:tcBorders>
            <w:shd w:val="clear" w:color="auto" w:fill="auto"/>
            <w:vAlign w:val="center"/>
          </w:tcPr>
          <w:p w14:paraId="72B4A7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388" w:type="pct"/>
            <w:tcBorders>
              <w:top w:val="single" w:color="000000" w:sz="4" w:space="0"/>
              <w:left w:val="single" w:color="000000" w:sz="4" w:space="0"/>
              <w:bottom w:val="nil"/>
              <w:right w:val="single" w:color="000000" w:sz="4" w:space="0"/>
            </w:tcBorders>
            <w:shd w:val="clear" w:color="auto" w:fill="auto"/>
            <w:vAlign w:val="center"/>
          </w:tcPr>
          <w:p w14:paraId="1616E4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53106B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保障单位工作正常开展</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736261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384EA442">
            <w:pPr>
              <w:jc w:val="center"/>
              <w:rPr>
                <w:rFonts w:hint="eastAsia" w:ascii="宋体" w:hAnsi="宋体" w:eastAsia="宋体" w:cs="宋体"/>
                <w:i w:val="0"/>
                <w:iCs w:val="0"/>
                <w:color w:val="000000"/>
                <w:sz w:val="18"/>
                <w:szCs w:val="18"/>
                <w:u w:val="none"/>
              </w:rPr>
            </w:pPr>
          </w:p>
        </w:tc>
        <w:tc>
          <w:tcPr>
            <w:tcW w:w="357" w:type="pct"/>
            <w:tcBorders>
              <w:top w:val="single" w:color="000000" w:sz="4" w:space="0"/>
              <w:left w:val="single" w:color="000000" w:sz="4" w:space="0"/>
              <w:bottom w:val="nil"/>
              <w:right w:val="single" w:color="000000" w:sz="4" w:space="0"/>
            </w:tcBorders>
            <w:shd w:val="clear" w:color="auto" w:fill="auto"/>
            <w:vAlign w:val="center"/>
          </w:tcPr>
          <w:p w14:paraId="10CD55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5AB5B8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34098633">
            <w:pPr>
              <w:jc w:val="center"/>
              <w:rPr>
                <w:rFonts w:hint="eastAsia" w:ascii="宋体" w:hAnsi="宋体" w:eastAsia="宋体" w:cs="宋体"/>
                <w:i w:val="0"/>
                <w:iCs w:val="0"/>
                <w:color w:val="000000"/>
                <w:sz w:val="18"/>
                <w:szCs w:val="18"/>
                <w:u w:val="none"/>
              </w:rPr>
            </w:pPr>
          </w:p>
        </w:tc>
        <w:tc>
          <w:tcPr>
            <w:tcW w:w="536" w:type="pct"/>
            <w:tcBorders>
              <w:top w:val="single" w:color="000000" w:sz="4" w:space="0"/>
              <w:left w:val="single" w:color="000000" w:sz="4" w:space="0"/>
              <w:bottom w:val="nil"/>
              <w:right w:val="single" w:color="000000" w:sz="4" w:space="0"/>
            </w:tcBorders>
            <w:shd w:val="clear" w:color="auto" w:fill="auto"/>
            <w:vAlign w:val="center"/>
          </w:tcPr>
          <w:p w14:paraId="56E248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4E9DD9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6558E56E">
            <w:pPr>
              <w:jc w:val="center"/>
              <w:rPr>
                <w:rFonts w:hint="eastAsia" w:ascii="宋体" w:hAnsi="宋体" w:eastAsia="宋体" w:cs="宋体"/>
                <w:i w:val="0"/>
                <w:iCs w:val="0"/>
                <w:color w:val="000000"/>
                <w:sz w:val="18"/>
                <w:szCs w:val="18"/>
                <w:u w:val="none"/>
              </w:rPr>
            </w:pPr>
          </w:p>
        </w:tc>
      </w:tr>
      <w:tr w14:paraId="7AE47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13E4630D">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5C5B3DE4">
            <w:pPr>
              <w:jc w:val="center"/>
              <w:rPr>
                <w:rFonts w:hint="eastAsia" w:ascii="宋体" w:hAnsi="宋体" w:eastAsia="宋体" w:cs="宋体"/>
                <w:i w:val="0"/>
                <w:iCs w:val="0"/>
                <w:color w:val="000000"/>
                <w:sz w:val="18"/>
                <w:szCs w:val="18"/>
                <w:u w:val="none"/>
              </w:rPr>
            </w:pPr>
          </w:p>
        </w:tc>
        <w:tc>
          <w:tcPr>
            <w:tcW w:w="388" w:type="pct"/>
            <w:tcBorders>
              <w:top w:val="single" w:color="000000" w:sz="4" w:space="0"/>
              <w:left w:val="single" w:color="000000" w:sz="4" w:space="0"/>
              <w:bottom w:val="nil"/>
              <w:right w:val="single" w:color="000000" w:sz="4" w:space="0"/>
            </w:tcBorders>
            <w:shd w:val="clear" w:color="auto" w:fill="auto"/>
            <w:vAlign w:val="center"/>
          </w:tcPr>
          <w:p w14:paraId="61779A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501A07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提高社救人员业务素质能力保障全市旗县区专业开展</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550A49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2CB09B5B">
            <w:pPr>
              <w:jc w:val="center"/>
              <w:rPr>
                <w:rFonts w:hint="eastAsia" w:ascii="宋体" w:hAnsi="宋体" w:eastAsia="宋体" w:cs="宋体"/>
                <w:i w:val="0"/>
                <w:iCs w:val="0"/>
                <w:color w:val="000000"/>
                <w:sz w:val="18"/>
                <w:szCs w:val="18"/>
                <w:u w:val="none"/>
              </w:rPr>
            </w:pPr>
          </w:p>
        </w:tc>
        <w:tc>
          <w:tcPr>
            <w:tcW w:w="357" w:type="pct"/>
            <w:tcBorders>
              <w:top w:val="single" w:color="000000" w:sz="4" w:space="0"/>
              <w:left w:val="single" w:color="000000" w:sz="4" w:space="0"/>
              <w:bottom w:val="nil"/>
              <w:right w:val="single" w:color="000000" w:sz="4" w:space="0"/>
            </w:tcBorders>
            <w:shd w:val="clear" w:color="auto" w:fill="auto"/>
            <w:vAlign w:val="center"/>
          </w:tcPr>
          <w:p w14:paraId="09856F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00BCC3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65E85910">
            <w:pPr>
              <w:jc w:val="center"/>
              <w:rPr>
                <w:rFonts w:hint="eastAsia" w:ascii="宋体" w:hAnsi="宋体" w:eastAsia="宋体" w:cs="宋体"/>
                <w:i w:val="0"/>
                <w:iCs w:val="0"/>
                <w:color w:val="000000"/>
                <w:sz w:val="18"/>
                <w:szCs w:val="18"/>
                <w:u w:val="none"/>
              </w:rPr>
            </w:pPr>
          </w:p>
        </w:tc>
        <w:tc>
          <w:tcPr>
            <w:tcW w:w="536" w:type="pct"/>
            <w:tcBorders>
              <w:top w:val="single" w:color="000000" w:sz="4" w:space="0"/>
              <w:left w:val="single" w:color="000000" w:sz="4" w:space="0"/>
              <w:bottom w:val="nil"/>
              <w:right w:val="single" w:color="000000" w:sz="4" w:space="0"/>
            </w:tcBorders>
            <w:shd w:val="clear" w:color="auto" w:fill="auto"/>
            <w:vAlign w:val="center"/>
          </w:tcPr>
          <w:p w14:paraId="2962C3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552A49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661C1D5D">
            <w:pPr>
              <w:jc w:val="center"/>
              <w:rPr>
                <w:rFonts w:hint="eastAsia" w:ascii="宋体" w:hAnsi="宋体" w:eastAsia="宋体" w:cs="宋体"/>
                <w:i w:val="0"/>
                <w:iCs w:val="0"/>
                <w:color w:val="000000"/>
                <w:sz w:val="18"/>
                <w:szCs w:val="18"/>
                <w:u w:val="none"/>
              </w:rPr>
            </w:pPr>
          </w:p>
        </w:tc>
      </w:tr>
      <w:tr w14:paraId="174739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0B40EA4E">
            <w:pPr>
              <w:jc w:val="center"/>
              <w:rPr>
                <w:rFonts w:hint="eastAsia" w:ascii="宋体" w:hAnsi="宋体" w:eastAsia="宋体" w:cs="宋体"/>
                <w:i w:val="0"/>
                <w:iCs w:val="0"/>
                <w:color w:val="000000"/>
                <w:sz w:val="18"/>
                <w:szCs w:val="18"/>
                <w:u w:val="none"/>
              </w:rPr>
            </w:pPr>
          </w:p>
        </w:tc>
        <w:tc>
          <w:tcPr>
            <w:tcW w:w="390" w:type="pct"/>
            <w:vMerge w:val="restart"/>
            <w:tcBorders>
              <w:top w:val="single" w:color="000000" w:sz="4" w:space="0"/>
              <w:left w:val="single" w:color="000000" w:sz="4" w:space="0"/>
              <w:bottom w:val="nil"/>
              <w:right w:val="single" w:color="000000" w:sz="4" w:space="0"/>
            </w:tcBorders>
            <w:shd w:val="clear" w:color="auto" w:fill="auto"/>
            <w:vAlign w:val="center"/>
          </w:tcPr>
          <w:p w14:paraId="300190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388" w:type="pct"/>
            <w:vMerge w:val="restart"/>
            <w:tcBorders>
              <w:top w:val="single" w:color="000000" w:sz="4" w:space="0"/>
              <w:left w:val="single" w:color="000000" w:sz="4" w:space="0"/>
              <w:bottom w:val="nil"/>
              <w:right w:val="single" w:color="000000" w:sz="4" w:space="0"/>
            </w:tcBorders>
            <w:shd w:val="clear" w:color="auto" w:fill="auto"/>
            <w:vAlign w:val="center"/>
          </w:tcPr>
          <w:p w14:paraId="04E3D5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17A5AD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工作人员满意度</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04159C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1DFF93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085497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67CABC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09950B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3987F9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699400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456838E0">
            <w:pPr>
              <w:jc w:val="center"/>
              <w:rPr>
                <w:rFonts w:hint="eastAsia" w:ascii="宋体" w:hAnsi="宋体" w:eastAsia="宋体" w:cs="宋体"/>
                <w:i w:val="0"/>
                <w:iCs w:val="0"/>
                <w:color w:val="000000"/>
                <w:sz w:val="18"/>
                <w:szCs w:val="18"/>
                <w:u w:val="none"/>
              </w:rPr>
            </w:pPr>
          </w:p>
        </w:tc>
      </w:tr>
      <w:tr w14:paraId="30831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49E1A8F1">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2847289F">
            <w:pPr>
              <w:jc w:val="center"/>
              <w:rPr>
                <w:rFonts w:hint="eastAsia" w:ascii="宋体" w:hAnsi="宋体" w:eastAsia="宋体" w:cs="宋体"/>
                <w:i w:val="0"/>
                <w:iCs w:val="0"/>
                <w:color w:val="000000"/>
                <w:sz w:val="18"/>
                <w:szCs w:val="18"/>
                <w:u w:val="none"/>
              </w:rPr>
            </w:pPr>
          </w:p>
        </w:tc>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12891CC2">
            <w:pPr>
              <w:jc w:val="center"/>
              <w:rPr>
                <w:rFonts w:hint="eastAsia" w:ascii="宋体" w:hAnsi="宋体" w:eastAsia="宋体" w:cs="宋体"/>
                <w:i w:val="0"/>
                <w:iCs w:val="0"/>
                <w:color w:val="000000"/>
                <w:sz w:val="18"/>
                <w:szCs w:val="18"/>
                <w:u w:val="none"/>
              </w:rPr>
            </w:pPr>
          </w:p>
        </w:tc>
        <w:tc>
          <w:tcPr>
            <w:tcW w:w="356" w:type="pct"/>
            <w:tcBorders>
              <w:top w:val="single" w:color="000000" w:sz="4" w:space="0"/>
              <w:left w:val="single" w:color="000000" w:sz="4" w:space="0"/>
              <w:bottom w:val="nil"/>
              <w:right w:val="single" w:color="000000" w:sz="4" w:space="0"/>
            </w:tcBorders>
            <w:shd w:val="clear" w:color="auto" w:fill="auto"/>
            <w:vAlign w:val="center"/>
          </w:tcPr>
          <w:p w14:paraId="45B456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培训人员满意度</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47840D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115BAB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25B964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5E0131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1117FC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1E86CB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1A4A95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79D9DD2E">
            <w:pPr>
              <w:jc w:val="center"/>
              <w:rPr>
                <w:rFonts w:hint="eastAsia" w:ascii="宋体" w:hAnsi="宋体" w:eastAsia="宋体" w:cs="宋体"/>
                <w:i w:val="0"/>
                <w:iCs w:val="0"/>
                <w:color w:val="000000"/>
                <w:sz w:val="18"/>
                <w:szCs w:val="18"/>
                <w:u w:val="none"/>
              </w:rPr>
            </w:pPr>
          </w:p>
        </w:tc>
      </w:tr>
      <w:tr w14:paraId="42B73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326"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AA308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84A4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E516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93.07</w:t>
            </w:r>
          </w:p>
        </w:tc>
        <w:tc>
          <w:tcPr>
            <w:tcW w:w="5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E8B8BB">
            <w:pPr>
              <w:jc w:val="center"/>
              <w:rPr>
                <w:rFonts w:hint="eastAsia" w:ascii="宋体" w:hAnsi="宋体" w:eastAsia="宋体" w:cs="宋体"/>
                <w:i w:val="0"/>
                <w:iCs w:val="0"/>
                <w:color w:val="000000"/>
                <w:sz w:val="18"/>
                <w:szCs w:val="18"/>
                <w:u w:val="none"/>
              </w:rPr>
            </w:pPr>
          </w:p>
        </w:tc>
      </w:tr>
      <w:tr w14:paraId="093C8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88" w:type="pct"/>
            <w:tcBorders>
              <w:top w:val="nil"/>
              <w:left w:val="nil"/>
              <w:bottom w:val="nil"/>
              <w:right w:val="nil"/>
            </w:tcBorders>
            <w:shd w:val="clear" w:color="auto" w:fill="auto"/>
            <w:noWrap/>
            <w:vAlign w:val="center"/>
          </w:tcPr>
          <w:p w14:paraId="61C9CF30">
            <w:pPr>
              <w:rPr>
                <w:rFonts w:hint="eastAsia" w:ascii="宋体" w:hAnsi="宋体" w:eastAsia="宋体" w:cs="宋体"/>
                <w:i w:val="0"/>
                <w:iCs w:val="0"/>
                <w:color w:val="000000"/>
                <w:sz w:val="22"/>
                <w:szCs w:val="22"/>
                <w:u w:val="none"/>
              </w:rPr>
            </w:pPr>
          </w:p>
        </w:tc>
        <w:tc>
          <w:tcPr>
            <w:tcW w:w="390" w:type="pct"/>
            <w:tcBorders>
              <w:top w:val="nil"/>
              <w:left w:val="nil"/>
              <w:bottom w:val="nil"/>
              <w:right w:val="nil"/>
            </w:tcBorders>
            <w:shd w:val="clear" w:color="auto" w:fill="auto"/>
            <w:noWrap/>
            <w:vAlign w:val="center"/>
          </w:tcPr>
          <w:p w14:paraId="683B8A33">
            <w:pPr>
              <w:rPr>
                <w:rFonts w:hint="eastAsia" w:ascii="宋体" w:hAnsi="宋体" w:eastAsia="宋体" w:cs="宋体"/>
                <w:i w:val="0"/>
                <w:iCs w:val="0"/>
                <w:color w:val="000000"/>
                <w:sz w:val="22"/>
                <w:szCs w:val="22"/>
                <w:u w:val="none"/>
              </w:rPr>
            </w:pPr>
          </w:p>
        </w:tc>
        <w:tc>
          <w:tcPr>
            <w:tcW w:w="388" w:type="pct"/>
            <w:tcBorders>
              <w:top w:val="nil"/>
              <w:left w:val="nil"/>
              <w:bottom w:val="nil"/>
              <w:right w:val="nil"/>
            </w:tcBorders>
            <w:shd w:val="clear" w:color="auto" w:fill="auto"/>
            <w:noWrap/>
            <w:vAlign w:val="center"/>
          </w:tcPr>
          <w:p w14:paraId="29EB7BFE">
            <w:pPr>
              <w:rPr>
                <w:rFonts w:hint="eastAsia" w:ascii="宋体" w:hAnsi="宋体" w:eastAsia="宋体" w:cs="宋体"/>
                <w:i w:val="0"/>
                <w:iCs w:val="0"/>
                <w:color w:val="000000"/>
                <w:sz w:val="22"/>
                <w:szCs w:val="22"/>
                <w:u w:val="none"/>
              </w:rPr>
            </w:pPr>
          </w:p>
        </w:tc>
        <w:tc>
          <w:tcPr>
            <w:tcW w:w="356" w:type="pct"/>
            <w:tcBorders>
              <w:top w:val="nil"/>
              <w:left w:val="nil"/>
              <w:bottom w:val="nil"/>
              <w:right w:val="nil"/>
            </w:tcBorders>
            <w:shd w:val="clear" w:color="auto" w:fill="auto"/>
            <w:noWrap/>
            <w:vAlign w:val="center"/>
          </w:tcPr>
          <w:p w14:paraId="3DE973D4">
            <w:pPr>
              <w:rPr>
                <w:rFonts w:hint="eastAsia" w:ascii="宋体" w:hAnsi="宋体" w:eastAsia="宋体" w:cs="宋体"/>
                <w:i w:val="0"/>
                <w:iCs w:val="0"/>
                <w:color w:val="000000"/>
                <w:sz w:val="22"/>
                <w:szCs w:val="22"/>
                <w:u w:val="none"/>
              </w:rPr>
            </w:pPr>
          </w:p>
        </w:tc>
        <w:tc>
          <w:tcPr>
            <w:tcW w:w="356" w:type="pct"/>
            <w:tcBorders>
              <w:top w:val="nil"/>
              <w:left w:val="nil"/>
              <w:bottom w:val="nil"/>
              <w:right w:val="nil"/>
            </w:tcBorders>
            <w:shd w:val="clear" w:color="auto" w:fill="auto"/>
            <w:noWrap/>
            <w:vAlign w:val="center"/>
          </w:tcPr>
          <w:p w14:paraId="29A70303">
            <w:pPr>
              <w:rPr>
                <w:rFonts w:hint="eastAsia" w:ascii="宋体" w:hAnsi="宋体" w:eastAsia="宋体" w:cs="宋体"/>
                <w:i w:val="0"/>
                <w:iCs w:val="0"/>
                <w:color w:val="000000"/>
                <w:sz w:val="22"/>
                <w:szCs w:val="22"/>
                <w:u w:val="none"/>
              </w:rPr>
            </w:pPr>
          </w:p>
        </w:tc>
        <w:tc>
          <w:tcPr>
            <w:tcW w:w="363" w:type="pct"/>
            <w:tcBorders>
              <w:top w:val="nil"/>
              <w:left w:val="nil"/>
              <w:bottom w:val="nil"/>
              <w:right w:val="nil"/>
            </w:tcBorders>
            <w:shd w:val="clear" w:color="auto" w:fill="auto"/>
            <w:noWrap/>
            <w:vAlign w:val="center"/>
          </w:tcPr>
          <w:p w14:paraId="2F6766FD">
            <w:pPr>
              <w:rPr>
                <w:rFonts w:hint="eastAsia" w:ascii="宋体" w:hAnsi="宋体" w:eastAsia="宋体" w:cs="宋体"/>
                <w:i w:val="0"/>
                <w:iCs w:val="0"/>
                <w:color w:val="000000"/>
                <w:sz w:val="22"/>
                <w:szCs w:val="22"/>
                <w:u w:val="none"/>
              </w:rPr>
            </w:pPr>
          </w:p>
        </w:tc>
        <w:tc>
          <w:tcPr>
            <w:tcW w:w="357" w:type="pct"/>
            <w:tcBorders>
              <w:top w:val="nil"/>
              <w:left w:val="nil"/>
              <w:bottom w:val="nil"/>
              <w:right w:val="nil"/>
            </w:tcBorders>
            <w:shd w:val="clear" w:color="auto" w:fill="auto"/>
            <w:noWrap/>
            <w:vAlign w:val="center"/>
          </w:tcPr>
          <w:p w14:paraId="68A906A5">
            <w:pPr>
              <w:rPr>
                <w:rFonts w:hint="eastAsia" w:ascii="宋体" w:hAnsi="宋体" w:eastAsia="宋体" w:cs="宋体"/>
                <w:i w:val="0"/>
                <w:iCs w:val="0"/>
                <w:color w:val="000000"/>
                <w:sz w:val="22"/>
                <w:szCs w:val="22"/>
                <w:u w:val="none"/>
              </w:rPr>
            </w:pPr>
          </w:p>
        </w:tc>
        <w:tc>
          <w:tcPr>
            <w:tcW w:w="2396" w:type="pct"/>
            <w:gridSpan w:val="5"/>
            <w:tcBorders>
              <w:top w:val="nil"/>
              <w:left w:val="nil"/>
              <w:bottom w:val="nil"/>
              <w:right w:val="nil"/>
            </w:tcBorders>
            <w:shd w:val="clear" w:color="auto" w:fill="auto"/>
            <w:noWrap/>
            <w:vAlign w:val="center"/>
          </w:tcPr>
          <w:p w14:paraId="6481E08E">
            <w:pPr>
              <w:jc w:val="center"/>
              <w:rPr>
                <w:rFonts w:hint="eastAsia" w:ascii="宋体" w:hAnsi="宋体" w:eastAsia="宋体" w:cs="宋体"/>
                <w:i w:val="0"/>
                <w:iCs w:val="0"/>
                <w:color w:val="000000"/>
                <w:sz w:val="22"/>
                <w:szCs w:val="22"/>
                <w:u w:val="none"/>
              </w:rPr>
            </w:pPr>
          </w:p>
        </w:tc>
      </w:tr>
    </w:tbl>
    <w:p w14:paraId="290AE24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p>
    <w:p w14:paraId="16440B8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    </w:t>
      </w: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4"/>
        <w:gridCol w:w="618"/>
        <w:gridCol w:w="615"/>
        <w:gridCol w:w="756"/>
        <w:gridCol w:w="561"/>
        <w:gridCol w:w="569"/>
        <w:gridCol w:w="666"/>
        <w:gridCol w:w="666"/>
        <w:gridCol w:w="602"/>
        <w:gridCol w:w="914"/>
        <w:gridCol w:w="949"/>
        <w:gridCol w:w="992"/>
      </w:tblGrid>
      <w:tr w14:paraId="679D6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500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0EE1669">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项目支出绩效自评表</w:t>
            </w:r>
            <w:r>
              <w:rPr>
                <w:rFonts w:hint="eastAsia" w:ascii="宋体" w:hAnsi="宋体" w:eastAsia="宋体" w:cs="宋体"/>
                <w:b/>
                <w:bCs/>
                <w:i w:val="0"/>
                <w:iCs w:val="0"/>
                <w:color w:val="000000"/>
                <w:kern w:val="0"/>
                <w:sz w:val="40"/>
                <w:szCs w:val="40"/>
                <w:u w:val="none"/>
                <w:lang w:val="en-US" w:eastAsia="zh-CN" w:bidi="ar"/>
              </w:rPr>
              <w:br w:type="textWrapping"/>
            </w:r>
            <w:r>
              <w:rPr>
                <w:rFonts w:hint="eastAsia" w:ascii="宋体" w:hAnsi="宋体" w:eastAsia="宋体" w:cs="宋体"/>
                <w:b/>
                <w:bCs/>
                <w:i w:val="0"/>
                <w:iCs w:val="0"/>
                <w:color w:val="000000"/>
                <w:kern w:val="0"/>
                <w:sz w:val="40"/>
                <w:szCs w:val="40"/>
                <w:u w:val="none"/>
                <w:lang w:val="en-US" w:eastAsia="zh-CN" w:bidi="ar"/>
              </w:rPr>
              <w:t>(2023年度）</w:t>
            </w:r>
          </w:p>
        </w:tc>
      </w:tr>
      <w:tr w14:paraId="344B9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E6052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4275"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7DD2D0C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福利企业托管人员社会保障缴费及医疗一次性安置费</w:t>
            </w:r>
          </w:p>
        </w:tc>
      </w:tr>
      <w:tr w14:paraId="28441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50CB2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146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89F818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呼和浩特市民政局（部门）</w:t>
            </w:r>
          </w:p>
        </w:tc>
        <w:tc>
          <w:tcPr>
            <w:tcW w:w="7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F95B8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02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D5778E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呼和浩特市民政局综合保障中心</w:t>
            </w:r>
          </w:p>
        </w:tc>
      </w:tr>
      <w:tr w14:paraId="4502D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2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8E4E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FA172B">
            <w:pPr>
              <w:rPr>
                <w:rFonts w:hint="eastAsia" w:ascii="宋体" w:hAnsi="宋体" w:eastAsia="宋体" w:cs="宋体"/>
                <w:i w:val="0"/>
                <w:iCs w:val="0"/>
                <w:color w:val="000000"/>
                <w:sz w:val="18"/>
                <w:szCs w:val="18"/>
                <w:u w:val="none"/>
              </w:rPr>
            </w:pP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7C73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66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EEF9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7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411B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AA9D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1D03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979A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7A7696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2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C9E2AB">
            <w:pPr>
              <w:jc w:val="center"/>
              <w:rPr>
                <w:rFonts w:hint="eastAsia" w:ascii="宋体" w:hAnsi="宋体" w:eastAsia="宋体" w:cs="宋体"/>
                <w:i w:val="0"/>
                <w:iCs w:val="0"/>
                <w:color w:val="000000"/>
                <w:sz w:val="18"/>
                <w:szCs w:val="18"/>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0A98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AF059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410.10</w:t>
            </w:r>
          </w:p>
        </w:tc>
        <w:tc>
          <w:tcPr>
            <w:tcW w:w="66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7671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410.10</w:t>
            </w:r>
          </w:p>
        </w:tc>
        <w:tc>
          <w:tcPr>
            <w:tcW w:w="7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0A48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410.10</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881A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49C5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7CC3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63DBA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2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0C2CB2">
            <w:pPr>
              <w:jc w:val="center"/>
              <w:rPr>
                <w:rFonts w:hint="eastAsia" w:ascii="宋体" w:hAnsi="宋体" w:eastAsia="宋体" w:cs="宋体"/>
                <w:i w:val="0"/>
                <w:iCs w:val="0"/>
                <w:color w:val="000000"/>
                <w:sz w:val="18"/>
                <w:szCs w:val="18"/>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14076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66FF9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410.10</w:t>
            </w:r>
          </w:p>
        </w:tc>
        <w:tc>
          <w:tcPr>
            <w:tcW w:w="66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40BB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410.10</w:t>
            </w:r>
          </w:p>
        </w:tc>
        <w:tc>
          <w:tcPr>
            <w:tcW w:w="7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C0AB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410.10</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E5D7F">
            <w:pPr>
              <w:keepNext w:val="0"/>
              <w:keepLines w:val="0"/>
              <w:widowControl/>
              <w:suppressLineNumbers w:val="0"/>
              <w:jc w:val="center"/>
              <w:textAlignment w:val="center"/>
              <w:rPr>
                <w:rFonts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0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8C83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FB7E6">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5E71B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2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54B986">
            <w:pPr>
              <w:jc w:val="center"/>
              <w:rPr>
                <w:rFonts w:hint="eastAsia" w:ascii="宋体" w:hAnsi="宋体" w:eastAsia="宋体" w:cs="宋体"/>
                <w:i w:val="0"/>
                <w:iCs w:val="0"/>
                <w:color w:val="000000"/>
                <w:sz w:val="18"/>
                <w:szCs w:val="18"/>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A74B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上年结转资金</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094D5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66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3F28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7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6799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D91C4">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0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708A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698AA">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66B661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2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0ADA17">
            <w:pPr>
              <w:jc w:val="center"/>
              <w:rPr>
                <w:rFonts w:hint="eastAsia" w:ascii="宋体" w:hAnsi="宋体" w:eastAsia="宋体" w:cs="宋体"/>
                <w:i w:val="0"/>
                <w:iCs w:val="0"/>
                <w:color w:val="000000"/>
                <w:sz w:val="18"/>
                <w:szCs w:val="18"/>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A714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C8109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66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C0EA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23E4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3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9D471">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0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7F1A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F9CD1">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4E32D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2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6625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185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FDB13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241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62A84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71F88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72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029B59">
            <w:pPr>
              <w:jc w:val="center"/>
              <w:rPr>
                <w:rFonts w:hint="eastAsia" w:ascii="宋体" w:hAnsi="宋体" w:eastAsia="宋体" w:cs="宋体"/>
                <w:i w:val="0"/>
                <w:iCs w:val="0"/>
                <w:color w:val="000000"/>
                <w:sz w:val="18"/>
                <w:szCs w:val="18"/>
                <w:u w:val="none"/>
              </w:rPr>
            </w:pPr>
          </w:p>
        </w:tc>
        <w:tc>
          <w:tcPr>
            <w:tcW w:w="185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2692B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根据市政府办公会议纪要《研究解决市民政局所属四家福利企业转制职工托管安置遗留问题有关事宜》（[2019]23号）精神会议议定，以人为本精神解决好转制安置企业残疾职工及困难职工后顾之忧。</w:t>
            </w:r>
          </w:p>
        </w:tc>
        <w:tc>
          <w:tcPr>
            <w:tcW w:w="241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24309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根据市政府办公会议纪要《研究解决市民政局所属四家福利企业转制职工托管安置遗留问题有关事宜》（[2019]23号）精神会议，对我局转职企业托管职工进行托底安置，截止全年12个月全部完成托管职工社保缴纳。</w:t>
            </w:r>
          </w:p>
        </w:tc>
      </w:tr>
      <w:tr w14:paraId="3967C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A237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E9A0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FAF3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3465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B1D7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指标性质</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C472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指标方向</w:t>
            </w:r>
          </w:p>
        </w:tc>
        <w:tc>
          <w:tcPr>
            <w:tcW w:w="3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1576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3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15F6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BA3E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6C17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C1B5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DD6BE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2A5CC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61" w:type="pct"/>
            <w:vMerge w:val="restart"/>
            <w:tcBorders>
              <w:top w:val="single" w:color="000000" w:sz="4" w:space="0"/>
              <w:left w:val="single" w:color="000000" w:sz="4" w:space="0"/>
              <w:bottom w:val="nil"/>
              <w:right w:val="single" w:color="000000" w:sz="4" w:space="0"/>
            </w:tcBorders>
            <w:shd w:val="clear" w:color="auto" w:fill="auto"/>
            <w:vAlign w:val="center"/>
          </w:tcPr>
          <w:p w14:paraId="7207B3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362" w:type="pct"/>
            <w:vMerge w:val="restart"/>
            <w:tcBorders>
              <w:top w:val="single" w:color="000000" w:sz="4" w:space="0"/>
              <w:left w:val="single" w:color="000000" w:sz="4" w:space="0"/>
              <w:bottom w:val="nil"/>
              <w:right w:val="single" w:color="000000" w:sz="4" w:space="0"/>
            </w:tcBorders>
            <w:shd w:val="clear" w:color="auto" w:fill="auto"/>
            <w:vAlign w:val="center"/>
          </w:tcPr>
          <w:p w14:paraId="5744F5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361" w:type="pct"/>
            <w:vMerge w:val="restart"/>
            <w:tcBorders>
              <w:top w:val="single" w:color="000000" w:sz="4" w:space="0"/>
              <w:left w:val="single" w:color="000000" w:sz="4" w:space="0"/>
              <w:bottom w:val="nil"/>
              <w:right w:val="single" w:color="000000" w:sz="4" w:space="0"/>
            </w:tcBorders>
            <w:shd w:val="clear" w:color="auto" w:fill="auto"/>
            <w:vAlign w:val="center"/>
          </w:tcPr>
          <w:p w14:paraId="0B4BBF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443" w:type="pct"/>
            <w:tcBorders>
              <w:top w:val="single" w:color="000000" w:sz="4" w:space="0"/>
              <w:left w:val="single" w:color="000000" w:sz="4" w:space="0"/>
              <w:bottom w:val="nil"/>
              <w:right w:val="single" w:color="000000" w:sz="4" w:space="0"/>
            </w:tcBorders>
            <w:shd w:val="clear" w:color="auto" w:fill="auto"/>
            <w:vAlign w:val="center"/>
          </w:tcPr>
          <w:p w14:paraId="630E77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缴纳托管企业职工社会保障缴费次数</w:t>
            </w:r>
          </w:p>
        </w:tc>
        <w:tc>
          <w:tcPr>
            <w:tcW w:w="329" w:type="pct"/>
            <w:tcBorders>
              <w:top w:val="single" w:color="000000" w:sz="4" w:space="0"/>
              <w:left w:val="single" w:color="000000" w:sz="4" w:space="0"/>
              <w:bottom w:val="nil"/>
              <w:right w:val="single" w:color="000000" w:sz="4" w:space="0"/>
            </w:tcBorders>
            <w:shd w:val="clear" w:color="auto" w:fill="auto"/>
            <w:vAlign w:val="center"/>
          </w:tcPr>
          <w:p w14:paraId="0F613C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32" w:type="pct"/>
            <w:tcBorders>
              <w:top w:val="single" w:color="000000" w:sz="4" w:space="0"/>
              <w:left w:val="single" w:color="000000" w:sz="4" w:space="0"/>
              <w:bottom w:val="nil"/>
              <w:right w:val="single" w:color="000000" w:sz="4" w:space="0"/>
            </w:tcBorders>
            <w:shd w:val="clear" w:color="auto" w:fill="auto"/>
            <w:vAlign w:val="center"/>
          </w:tcPr>
          <w:p w14:paraId="596BD4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90" w:type="pct"/>
            <w:tcBorders>
              <w:top w:val="single" w:color="000000" w:sz="4" w:space="0"/>
              <w:left w:val="single" w:color="000000" w:sz="4" w:space="0"/>
              <w:bottom w:val="nil"/>
              <w:right w:val="single" w:color="000000" w:sz="4" w:space="0"/>
            </w:tcBorders>
            <w:shd w:val="clear" w:color="auto" w:fill="auto"/>
            <w:vAlign w:val="center"/>
          </w:tcPr>
          <w:p w14:paraId="0614D7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390" w:type="pct"/>
            <w:tcBorders>
              <w:top w:val="single" w:color="000000" w:sz="4" w:space="0"/>
              <w:left w:val="single" w:color="000000" w:sz="4" w:space="0"/>
              <w:bottom w:val="nil"/>
              <w:right w:val="single" w:color="000000" w:sz="4" w:space="0"/>
            </w:tcBorders>
            <w:shd w:val="clear" w:color="auto" w:fill="auto"/>
            <w:vAlign w:val="center"/>
          </w:tcPr>
          <w:p w14:paraId="461C16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349" w:type="pct"/>
            <w:tcBorders>
              <w:top w:val="single" w:color="000000" w:sz="4" w:space="0"/>
              <w:left w:val="single" w:color="000000" w:sz="4" w:space="0"/>
              <w:bottom w:val="nil"/>
              <w:right w:val="single" w:color="000000" w:sz="4" w:space="0"/>
            </w:tcBorders>
            <w:shd w:val="clear" w:color="auto" w:fill="auto"/>
            <w:vAlign w:val="center"/>
          </w:tcPr>
          <w:p w14:paraId="16E537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2BF619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56" w:type="pct"/>
            <w:tcBorders>
              <w:top w:val="single" w:color="000000" w:sz="4" w:space="0"/>
              <w:left w:val="single" w:color="000000" w:sz="4" w:space="0"/>
              <w:bottom w:val="nil"/>
              <w:right w:val="single" w:color="000000" w:sz="4" w:space="0"/>
            </w:tcBorders>
            <w:shd w:val="clear" w:color="auto" w:fill="auto"/>
            <w:vAlign w:val="center"/>
          </w:tcPr>
          <w:p w14:paraId="18B3C5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84" w:type="pct"/>
            <w:tcBorders>
              <w:top w:val="single" w:color="000000" w:sz="4" w:space="0"/>
              <w:left w:val="single" w:color="000000" w:sz="4" w:space="0"/>
              <w:bottom w:val="nil"/>
              <w:right w:val="single" w:color="000000" w:sz="4" w:space="0"/>
            </w:tcBorders>
            <w:shd w:val="clear" w:color="auto" w:fill="auto"/>
            <w:vAlign w:val="center"/>
          </w:tcPr>
          <w:p w14:paraId="7D37886F">
            <w:pPr>
              <w:jc w:val="center"/>
              <w:rPr>
                <w:rFonts w:hint="eastAsia" w:ascii="宋体" w:hAnsi="宋体" w:eastAsia="宋体" w:cs="宋体"/>
                <w:i w:val="0"/>
                <w:iCs w:val="0"/>
                <w:color w:val="000000"/>
                <w:sz w:val="18"/>
                <w:szCs w:val="18"/>
                <w:u w:val="none"/>
              </w:rPr>
            </w:pPr>
          </w:p>
        </w:tc>
      </w:tr>
      <w:tr w14:paraId="08BB1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61" w:type="pct"/>
            <w:vMerge w:val="continue"/>
            <w:tcBorders>
              <w:top w:val="single" w:color="000000" w:sz="4" w:space="0"/>
              <w:left w:val="single" w:color="000000" w:sz="4" w:space="0"/>
              <w:bottom w:val="nil"/>
              <w:right w:val="single" w:color="000000" w:sz="4" w:space="0"/>
            </w:tcBorders>
            <w:shd w:val="clear" w:color="auto" w:fill="auto"/>
            <w:vAlign w:val="center"/>
          </w:tcPr>
          <w:p w14:paraId="26CE9316">
            <w:pPr>
              <w:jc w:val="center"/>
              <w:rPr>
                <w:rFonts w:hint="eastAsia" w:ascii="宋体" w:hAnsi="宋体" w:eastAsia="宋体" w:cs="宋体"/>
                <w:i w:val="0"/>
                <w:iCs w:val="0"/>
                <w:color w:val="000000"/>
                <w:sz w:val="18"/>
                <w:szCs w:val="18"/>
                <w:u w:val="none"/>
              </w:rPr>
            </w:pPr>
          </w:p>
        </w:tc>
        <w:tc>
          <w:tcPr>
            <w:tcW w:w="362" w:type="pct"/>
            <w:vMerge w:val="continue"/>
            <w:tcBorders>
              <w:top w:val="single" w:color="000000" w:sz="4" w:space="0"/>
              <w:left w:val="single" w:color="000000" w:sz="4" w:space="0"/>
              <w:bottom w:val="nil"/>
              <w:right w:val="single" w:color="000000" w:sz="4" w:space="0"/>
            </w:tcBorders>
            <w:shd w:val="clear" w:color="auto" w:fill="auto"/>
            <w:vAlign w:val="center"/>
          </w:tcPr>
          <w:p w14:paraId="72195878">
            <w:pPr>
              <w:jc w:val="center"/>
              <w:rPr>
                <w:rFonts w:hint="eastAsia" w:ascii="宋体" w:hAnsi="宋体" w:eastAsia="宋体" w:cs="宋体"/>
                <w:i w:val="0"/>
                <w:iCs w:val="0"/>
                <w:color w:val="000000"/>
                <w:sz w:val="18"/>
                <w:szCs w:val="18"/>
                <w:u w:val="none"/>
              </w:rPr>
            </w:pPr>
          </w:p>
        </w:tc>
        <w:tc>
          <w:tcPr>
            <w:tcW w:w="361" w:type="pct"/>
            <w:vMerge w:val="continue"/>
            <w:tcBorders>
              <w:top w:val="single" w:color="000000" w:sz="4" w:space="0"/>
              <w:left w:val="single" w:color="000000" w:sz="4" w:space="0"/>
              <w:bottom w:val="nil"/>
              <w:right w:val="single" w:color="000000" w:sz="4" w:space="0"/>
            </w:tcBorders>
            <w:shd w:val="clear" w:color="auto" w:fill="auto"/>
            <w:vAlign w:val="center"/>
          </w:tcPr>
          <w:p w14:paraId="2709639F">
            <w:pPr>
              <w:jc w:val="center"/>
              <w:rPr>
                <w:rFonts w:hint="eastAsia" w:ascii="宋体" w:hAnsi="宋体" w:eastAsia="宋体" w:cs="宋体"/>
                <w:i w:val="0"/>
                <w:iCs w:val="0"/>
                <w:color w:val="000000"/>
                <w:sz w:val="18"/>
                <w:szCs w:val="18"/>
                <w:u w:val="none"/>
              </w:rPr>
            </w:pPr>
          </w:p>
        </w:tc>
        <w:tc>
          <w:tcPr>
            <w:tcW w:w="443" w:type="pct"/>
            <w:tcBorders>
              <w:top w:val="single" w:color="000000" w:sz="4" w:space="0"/>
              <w:left w:val="single" w:color="000000" w:sz="4" w:space="0"/>
              <w:bottom w:val="nil"/>
              <w:right w:val="single" w:color="000000" w:sz="4" w:space="0"/>
            </w:tcBorders>
            <w:shd w:val="clear" w:color="auto" w:fill="auto"/>
            <w:vAlign w:val="center"/>
          </w:tcPr>
          <w:p w14:paraId="52EF35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缴纳退休职工医疗安置费次数</w:t>
            </w:r>
          </w:p>
        </w:tc>
        <w:tc>
          <w:tcPr>
            <w:tcW w:w="329" w:type="pct"/>
            <w:tcBorders>
              <w:top w:val="single" w:color="000000" w:sz="4" w:space="0"/>
              <w:left w:val="single" w:color="000000" w:sz="4" w:space="0"/>
              <w:bottom w:val="nil"/>
              <w:right w:val="single" w:color="000000" w:sz="4" w:space="0"/>
            </w:tcBorders>
            <w:shd w:val="clear" w:color="auto" w:fill="auto"/>
            <w:vAlign w:val="center"/>
          </w:tcPr>
          <w:p w14:paraId="6C82FD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32" w:type="pct"/>
            <w:tcBorders>
              <w:top w:val="single" w:color="000000" w:sz="4" w:space="0"/>
              <w:left w:val="single" w:color="000000" w:sz="4" w:space="0"/>
              <w:bottom w:val="nil"/>
              <w:right w:val="single" w:color="000000" w:sz="4" w:space="0"/>
            </w:tcBorders>
            <w:shd w:val="clear" w:color="auto" w:fill="auto"/>
            <w:vAlign w:val="center"/>
          </w:tcPr>
          <w:p w14:paraId="7BF34F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90" w:type="pct"/>
            <w:tcBorders>
              <w:top w:val="single" w:color="000000" w:sz="4" w:space="0"/>
              <w:left w:val="single" w:color="000000" w:sz="4" w:space="0"/>
              <w:bottom w:val="nil"/>
              <w:right w:val="single" w:color="000000" w:sz="4" w:space="0"/>
            </w:tcBorders>
            <w:shd w:val="clear" w:color="auto" w:fill="auto"/>
            <w:vAlign w:val="center"/>
          </w:tcPr>
          <w:p w14:paraId="4D6191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90" w:type="pct"/>
            <w:tcBorders>
              <w:top w:val="single" w:color="000000" w:sz="4" w:space="0"/>
              <w:left w:val="single" w:color="000000" w:sz="4" w:space="0"/>
              <w:bottom w:val="nil"/>
              <w:right w:val="single" w:color="000000" w:sz="4" w:space="0"/>
            </w:tcBorders>
            <w:shd w:val="clear" w:color="auto" w:fill="auto"/>
            <w:vAlign w:val="center"/>
          </w:tcPr>
          <w:p w14:paraId="325C37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49" w:type="pct"/>
            <w:tcBorders>
              <w:top w:val="single" w:color="000000" w:sz="4" w:space="0"/>
              <w:left w:val="single" w:color="000000" w:sz="4" w:space="0"/>
              <w:bottom w:val="nil"/>
              <w:right w:val="single" w:color="000000" w:sz="4" w:space="0"/>
            </w:tcBorders>
            <w:shd w:val="clear" w:color="auto" w:fill="auto"/>
            <w:vAlign w:val="center"/>
          </w:tcPr>
          <w:p w14:paraId="005134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1D14C2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56" w:type="pct"/>
            <w:tcBorders>
              <w:top w:val="single" w:color="000000" w:sz="4" w:space="0"/>
              <w:left w:val="single" w:color="000000" w:sz="4" w:space="0"/>
              <w:bottom w:val="nil"/>
              <w:right w:val="single" w:color="000000" w:sz="4" w:space="0"/>
            </w:tcBorders>
            <w:shd w:val="clear" w:color="auto" w:fill="auto"/>
            <w:vAlign w:val="center"/>
          </w:tcPr>
          <w:p w14:paraId="7C73FB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84" w:type="pct"/>
            <w:tcBorders>
              <w:top w:val="single" w:color="000000" w:sz="4" w:space="0"/>
              <w:left w:val="single" w:color="000000" w:sz="4" w:space="0"/>
              <w:bottom w:val="nil"/>
              <w:right w:val="single" w:color="000000" w:sz="4" w:space="0"/>
            </w:tcBorders>
            <w:shd w:val="clear" w:color="auto" w:fill="auto"/>
            <w:vAlign w:val="center"/>
          </w:tcPr>
          <w:p w14:paraId="4A45DA86">
            <w:pPr>
              <w:jc w:val="center"/>
              <w:rPr>
                <w:rFonts w:hint="eastAsia" w:ascii="宋体" w:hAnsi="宋体" w:eastAsia="宋体" w:cs="宋体"/>
                <w:i w:val="0"/>
                <w:iCs w:val="0"/>
                <w:color w:val="000000"/>
                <w:sz w:val="18"/>
                <w:szCs w:val="18"/>
                <w:u w:val="none"/>
              </w:rPr>
            </w:pPr>
          </w:p>
        </w:tc>
      </w:tr>
      <w:tr w14:paraId="0F5A3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61" w:type="pct"/>
            <w:vMerge w:val="continue"/>
            <w:tcBorders>
              <w:top w:val="single" w:color="000000" w:sz="4" w:space="0"/>
              <w:left w:val="single" w:color="000000" w:sz="4" w:space="0"/>
              <w:bottom w:val="nil"/>
              <w:right w:val="single" w:color="000000" w:sz="4" w:space="0"/>
            </w:tcBorders>
            <w:shd w:val="clear" w:color="auto" w:fill="auto"/>
            <w:vAlign w:val="center"/>
          </w:tcPr>
          <w:p w14:paraId="4750E0B2">
            <w:pPr>
              <w:jc w:val="center"/>
              <w:rPr>
                <w:rFonts w:hint="eastAsia" w:ascii="宋体" w:hAnsi="宋体" w:eastAsia="宋体" w:cs="宋体"/>
                <w:i w:val="0"/>
                <w:iCs w:val="0"/>
                <w:color w:val="000000"/>
                <w:sz w:val="18"/>
                <w:szCs w:val="18"/>
                <w:u w:val="none"/>
              </w:rPr>
            </w:pPr>
          </w:p>
        </w:tc>
        <w:tc>
          <w:tcPr>
            <w:tcW w:w="362" w:type="pct"/>
            <w:vMerge w:val="continue"/>
            <w:tcBorders>
              <w:top w:val="single" w:color="000000" w:sz="4" w:space="0"/>
              <w:left w:val="single" w:color="000000" w:sz="4" w:space="0"/>
              <w:bottom w:val="nil"/>
              <w:right w:val="single" w:color="000000" w:sz="4" w:space="0"/>
            </w:tcBorders>
            <w:shd w:val="clear" w:color="auto" w:fill="auto"/>
            <w:vAlign w:val="center"/>
          </w:tcPr>
          <w:p w14:paraId="2C4069AB">
            <w:pPr>
              <w:jc w:val="center"/>
              <w:rPr>
                <w:rFonts w:hint="eastAsia" w:ascii="宋体" w:hAnsi="宋体" w:eastAsia="宋体" w:cs="宋体"/>
                <w:i w:val="0"/>
                <w:iCs w:val="0"/>
                <w:color w:val="000000"/>
                <w:sz w:val="18"/>
                <w:szCs w:val="18"/>
                <w:u w:val="none"/>
              </w:rPr>
            </w:pPr>
          </w:p>
        </w:tc>
        <w:tc>
          <w:tcPr>
            <w:tcW w:w="361" w:type="pct"/>
            <w:vMerge w:val="continue"/>
            <w:tcBorders>
              <w:top w:val="single" w:color="000000" w:sz="4" w:space="0"/>
              <w:left w:val="single" w:color="000000" w:sz="4" w:space="0"/>
              <w:bottom w:val="nil"/>
              <w:right w:val="single" w:color="000000" w:sz="4" w:space="0"/>
            </w:tcBorders>
            <w:shd w:val="clear" w:color="auto" w:fill="auto"/>
            <w:vAlign w:val="center"/>
          </w:tcPr>
          <w:p w14:paraId="7057C481">
            <w:pPr>
              <w:jc w:val="center"/>
              <w:rPr>
                <w:rFonts w:hint="eastAsia" w:ascii="宋体" w:hAnsi="宋体" w:eastAsia="宋体" w:cs="宋体"/>
                <w:i w:val="0"/>
                <w:iCs w:val="0"/>
                <w:color w:val="000000"/>
                <w:sz w:val="18"/>
                <w:szCs w:val="18"/>
                <w:u w:val="none"/>
              </w:rPr>
            </w:pPr>
          </w:p>
        </w:tc>
        <w:tc>
          <w:tcPr>
            <w:tcW w:w="443" w:type="pct"/>
            <w:tcBorders>
              <w:top w:val="single" w:color="000000" w:sz="4" w:space="0"/>
              <w:left w:val="single" w:color="000000" w:sz="4" w:space="0"/>
              <w:bottom w:val="nil"/>
              <w:right w:val="single" w:color="000000" w:sz="4" w:space="0"/>
            </w:tcBorders>
            <w:shd w:val="clear" w:color="auto" w:fill="auto"/>
            <w:vAlign w:val="center"/>
          </w:tcPr>
          <w:p w14:paraId="596E96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缴纳托管企业职工社会保障缴费人数</w:t>
            </w:r>
          </w:p>
        </w:tc>
        <w:tc>
          <w:tcPr>
            <w:tcW w:w="329" w:type="pct"/>
            <w:tcBorders>
              <w:top w:val="single" w:color="000000" w:sz="4" w:space="0"/>
              <w:left w:val="single" w:color="000000" w:sz="4" w:space="0"/>
              <w:bottom w:val="nil"/>
              <w:right w:val="single" w:color="000000" w:sz="4" w:space="0"/>
            </w:tcBorders>
            <w:shd w:val="clear" w:color="auto" w:fill="auto"/>
            <w:vAlign w:val="center"/>
          </w:tcPr>
          <w:p w14:paraId="1188E0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32" w:type="pct"/>
            <w:tcBorders>
              <w:top w:val="single" w:color="000000" w:sz="4" w:space="0"/>
              <w:left w:val="single" w:color="000000" w:sz="4" w:space="0"/>
              <w:bottom w:val="nil"/>
              <w:right w:val="single" w:color="000000" w:sz="4" w:space="0"/>
            </w:tcBorders>
            <w:shd w:val="clear" w:color="auto" w:fill="auto"/>
            <w:vAlign w:val="center"/>
          </w:tcPr>
          <w:p w14:paraId="6F263B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90" w:type="pct"/>
            <w:tcBorders>
              <w:top w:val="single" w:color="000000" w:sz="4" w:space="0"/>
              <w:left w:val="single" w:color="000000" w:sz="4" w:space="0"/>
              <w:bottom w:val="nil"/>
              <w:right w:val="single" w:color="000000" w:sz="4" w:space="0"/>
            </w:tcBorders>
            <w:shd w:val="clear" w:color="auto" w:fill="auto"/>
            <w:vAlign w:val="center"/>
          </w:tcPr>
          <w:p w14:paraId="3346D5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173</w:t>
            </w:r>
          </w:p>
        </w:tc>
        <w:tc>
          <w:tcPr>
            <w:tcW w:w="390" w:type="pct"/>
            <w:tcBorders>
              <w:top w:val="single" w:color="000000" w:sz="4" w:space="0"/>
              <w:left w:val="single" w:color="000000" w:sz="4" w:space="0"/>
              <w:bottom w:val="nil"/>
              <w:right w:val="single" w:color="000000" w:sz="4" w:space="0"/>
            </w:tcBorders>
            <w:shd w:val="clear" w:color="auto" w:fill="auto"/>
            <w:vAlign w:val="center"/>
          </w:tcPr>
          <w:p w14:paraId="0C08C3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173</w:t>
            </w:r>
          </w:p>
        </w:tc>
        <w:tc>
          <w:tcPr>
            <w:tcW w:w="349" w:type="pct"/>
            <w:tcBorders>
              <w:top w:val="single" w:color="000000" w:sz="4" w:space="0"/>
              <w:left w:val="single" w:color="000000" w:sz="4" w:space="0"/>
              <w:bottom w:val="nil"/>
              <w:right w:val="single" w:color="000000" w:sz="4" w:space="0"/>
            </w:tcBorders>
            <w:shd w:val="clear" w:color="auto" w:fill="auto"/>
            <w:vAlign w:val="center"/>
          </w:tcPr>
          <w:p w14:paraId="172A1F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62756D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56" w:type="pct"/>
            <w:tcBorders>
              <w:top w:val="single" w:color="000000" w:sz="4" w:space="0"/>
              <w:left w:val="single" w:color="000000" w:sz="4" w:space="0"/>
              <w:bottom w:val="nil"/>
              <w:right w:val="single" w:color="000000" w:sz="4" w:space="0"/>
            </w:tcBorders>
            <w:shd w:val="clear" w:color="auto" w:fill="auto"/>
            <w:vAlign w:val="center"/>
          </w:tcPr>
          <w:p w14:paraId="0EF863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84" w:type="pct"/>
            <w:tcBorders>
              <w:top w:val="single" w:color="000000" w:sz="4" w:space="0"/>
              <w:left w:val="single" w:color="000000" w:sz="4" w:space="0"/>
              <w:bottom w:val="nil"/>
              <w:right w:val="single" w:color="000000" w:sz="4" w:space="0"/>
            </w:tcBorders>
            <w:shd w:val="clear" w:color="auto" w:fill="auto"/>
            <w:vAlign w:val="center"/>
          </w:tcPr>
          <w:p w14:paraId="1B81D8A7">
            <w:pPr>
              <w:jc w:val="center"/>
              <w:rPr>
                <w:rFonts w:hint="eastAsia" w:ascii="宋体" w:hAnsi="宋体" w:eastAsia="宋体" w:cs="宋体"/>
                <w:i w:val="0"/>
                <w:iCs w:val="0"/>
                <w:color w:val="000000"/>
                <w:sz w:val="18"/>
                <w:szCs w:val="18"/>
                <w:u w:val="none"/>
              </w:rPr>
            </w:pPr>
          </w:p>
        </w:tc>
      </w:tr>
      <w:tr w14:paraId="7A9DF1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61" w:type="pct"/>
            <w:vMerge w:val="continue"/>
            <w:tcBorders>
              <w:top w:val="single" w:color="000000" w:sz="4" w:space="0"/>
              <w:left w:val="single" w:color="000000" w:sz="4" w:space="0"/>
              <w:bottom w:val="nil"/>
              <w:right w:val="single" w:color="000000" w:sz="4" w:space="0"/>
            </w:tcBorders>
            <w:shd w:val="clear" w:color="auto" w:fill="auto"/>
            <w:vAlign w:val="center"/>
          </w:tcPr>
          <w:p w14:paraId="3C76C948">
            <w:pPr>
              <w:jc w:val="center"/>
              <w:rPr>
                <w:rFonts w:hint="eastAsia" w:ascii="宋体" w:hAnsi="宋体" w:eastAsia="宋体" w:cs="宋体"/>
                <w:i w:val="0"/>
                <w:iCs w:val="0"/>
                <w:color w:val="000000"/>
                <w:sz w:val="18"/>
                <w:szCs w:val="18"/>
                <w:u w:val="none"/>
              </w:rPr>
            </w:pPr>
          </w:p>
        </w:tc>
        <w:tc>
          <w:tcPr>
            <w:tcW w:w="362" w:type="pct"/>
            <w:vMerge w:val="continue"/>
            <w:tcBorders>
              <w:top w:val="single" w:color="000000" w:sz="4" w:space="0"/>
              <w:left w:val="single" w:color="000000" w:sz="4" w:space="0"/>
              <w:bottom w:val="nil"/>
              <w:right w:val="single" w:color="000000" w:sz="4" w:space="0"/>
            </w:tcBorders>
            <w:shd w:val="clear" w:color="auto" w:fill="auto"/>
            <w:vAlign w:val="center"/>
          </w:tcPr>
          <w:p w14:paraId="10DC78D9">
            <w:pPr>
              <w:jc w:val="center"/>
              <w:rPr>
                <w:rFonts w:hint="eastAsia" w:ascii="宋体" w:hAnsi="宋体" w:eastAsia="宋体" w:cs="宋体"/>
                <w:i w:val="0"/>
                <w:iCs w:val="0"/>
                <w:color w:val="000000"/>
                <w:sz w:val="18"/>
                <w:szCs w:val="18"/>
                <w:u w:val="none"/>
              </w:rPr>
            </w:pPr>
          </w:p>
        </w:tc>
        <w:tc>
          <w:tcPr>
            <w:tcW w:w="361" w:type="pct"/>
            <w:vMerge w:val="continue"/>
            <w:tcBorders>
              <w:top w:val="single" w:color="000000" w:sz="4" w:space="0"/>
              <w:left w:val="single" w:color="000000" w:sz="4" w:space="0"/>
              <w:bottom w:val="nil"/>
              <w:right w:val="single" w:color="000000" w:sz="4" w:space="0"/>
            </w:tcBorders>
            <w:shd w:val="clear" w:color="auto" w:fill="auto"/>
            <w:vAlign w:val="center"/>
          </w:tcPr>
          <w:p w14:paraId="5B900554">
            <w:pPr>
              <w:jc w:val="center"/>
              <w:rPr>
                <w:rFonts w:hint="eastAsia" w:ascii="宋体" w:hAnsi="宋体" w:eastAsia="宋体" w:cs="宋体"/>
                <w:i w:val="0"/>
                <w:iCs w:val="0"/>
                <w:color w:val="000000"/>
                <w:sz w:val="18"/>
                <w:szCs w:val="18"/>
                <w:u w:val="none"/>
              </w:rPr>
            </w:pPr>
          </w:p>
        </w:tc>
        <w:tc>
          <w:tcPr>
            <w:tcW w:w="443" w:type="pct"/>
            <w:tcBorders>
              <w:top w:val="single" w:color="000000" w:sz="4" w:space="0"/>
              <w:left w:val="single" w:color="000000" w:sz="4" w:space="0"/>
              <w:bottom w:val="nil"/>
              <w:right w:val="single" w:color="000000" w:sz="4" w:space="0"/>
            </w:tcBorders>
            <w:shd w:val="clear" w:color="auto" w:fill="auto"/>
            <w:vAlign w:val="center"/>
          </w:tcPr>
          <w:p w14:paraId="76AA55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缴纳退休职工医疗安置费人数</w:t>
            </w:r>
          </w:p>
        </w:tc>
        <w:tc>
          <w:tcPr>
            <w:tcW w:w="329" w:type="pct"/>
            <w:tcBorders>
              <w:top w:val="single" w:color="000000" w:sz="4" w:space="0"/>
              <w:left w:val="single" w:color="000000" w:sz="4" w:space="0"/>
              <w:bottom w:val="nil"/>
              <w:right w:val="single" w:color="000000" w:sz="4" w:space="0"/>
            </w:tcBorders>
            <w:shd w:val="clear" w:color="auto" w:fill="auto"/>
            <w:vAlign w:val="center"/>
          </w:tcPr>
          <w:p w14:paraId="1E048B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32" w:type="pct"/>
            <w:tcBorders>
              <w:top w:val="single" w:color="000000" w:sz="4" w:space="0"/>
              <w:left w:val="single" w:color="000000" w:sz="4" w:space="0"/>
              <w:bottom w:val="nil"/>
              <w:right w:val="single" w:color="000000" w:sz="4" w:space="0"/>
            </w:tcBorders>
            <w:shd w:val="clear" w:color="auto" w:fill="auto"/>
            <w:vAlign w:val="center"/>
          </w:tcPr>
          <w:p w14:paraId="4F4824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90" w:type="pct"/>
            <w:tcBorders>
              <w:top w:val="single" w:color="000000" w:sz="4" w:space="0"/>
              <w:left w:val="single" w:color="000000" w:sz="4" w:space="0"/>
              <w:bottom w:val="nil"/>
              <w:right w:val="single" w:color="000000" w:sz="4" w:space="0"/>
            </w:tcBorders>
            <w:shd w:val="clear" w:color="auto" w:fill="auto"/>
            <w:vAlign w:val="center"/>
          </w:tcPr>
          <w:p w14:paraId="6101E5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390" w:type="pct"/>
            <w:tcBorders>
              <w:top w:val="single" w:color="000000" w:sz="4" w:space="0"/>
              <w:left w:val="single" w:color="000000" w:sz="4" w:space="0"/>
              <w:bottom w:val="nil"/>
              <w:right w:val="single" w:color="000000" w:sz="4" w:space="0"/>
            </w:tcBorders>
            <w:shd w:val="clear" w:color="auto" w:fill="auto"/>
            <w:vAlign w:val="center"/>
          </w:tcPr>
          <w:p w14:paraId="6069A6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349" w:type="pct"/>
            <w:tcBorders>
              <w:top w:val="single" w:color="000000" w:sz="4" w:space="0"/>
              <w:left w:val="single" w:color="000000" w:sz="4" w:space="0"/>
              <w:bottom w:val="nil"/>
              <w:right w:val="single" w:color="000000" w:sz="4" w:space="0"/>
            </w:tcBorders>
            <w:shd w:val="clear" w:color="auto" w:fill="auto"/>
            <w:vAlign w:val="center"/>
          </w:tcPr>
          <w:p w14:paraId="0F48D9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4352F7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56" w:type="pct"/>
            <w:tcBorders>
              <w:top w:val="single" w:color="000000" w:sz="4" w:space="0"/>
              <w:left w:val="single" w:color="000000" w:sz="4" w:space="0"/>
              <w:bottom w:val="nil"/>
              <w:right w:val="single" w:color="000000" w:sz="4" w:space="0"/>
            </w:tcBorders>
            <w:shd w:val="clear" w:color="auto" w:fill="auto"/>
            <w:vAlign w:val="center"/>
          </w:tcPr>
          <w:p w14:paraId="4D457C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84" w:type="pct"/>
            <w:tcBorders>
              <w:top w:val="single" w:color="000000" w:sz="4" w:space="0"/>
              <w:left w:val="single" w:color="000000" w:sz="4" w:space="0"/>
              <w:bottom w:val="nil"/>
              <w:right w:val="single" w:color="000000" w:sz="4" w:space="0"/>
            </w:tcBorders>
            <w:shd w:val="clear" w:color="auto" w:fill="auto"/>
            <w:vAlign w:val="center"/>
          </w:tcPr>
          <w:p w14:paraId="01FE1C32">
            <w:pPr>
              <w:jc w:val="center"/>
              <w:rPr>
                <w:rFonts w:hint="eastAsia" w:ascii="宋体" w:hAnsi="宋体" w:eastAsia="宋体" w:cs="宋体"/>
                <w:i w:val="0"/>
                <w:iCs w:val="0"/>
                <w:color w:val="000000"/>
                <w:sz w:val="18"/>
                <w:szCs w:val="18"/>
                <w:u w:val="none"/>
              </w:rPr>
            </w:pPr>
          </w:p>
        </w:tc>
      </w:tr>
      <w:tr w14:paraId="43977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61" w:type="pct"/>
            <w:vMerge w:val="continue"/>
            <w:tcBorders>
              <w:top w:val="single" w:color="000000" w:sz="4" w:space="0"/>
              <w:left w:val="single" w:color="000000" w:sz="4" w:space="0"/>
              <w:bottom w:val="nil"/>
              <w:right w:val="single" w:color="000000" w:sz="4" w:space="0"/>
            </w:tcBorders>
            <w:shd w:val="clear" w:color="auto" w:fill="auto"/>
            <w:vAlign w:val="center"/>
          </w:tcPr>
          <w:p w14:paraId="1ABEDBFD">
            <w:pPr>
              <w:jc w:val="center"/>
              <w:rPr>
                <w:rFonts w:hint="eastAsia" w:ascii="宋体" w:hAnsi="宋体" w:eastAsia="宋体" w:cs="宋体"/>
                <w:i w:val="0"/>
                <w:iCs w:val="0"/>
                <w:color w:val="000000"/>
                <w:sz w:val="18"/>
                <w:szCs w:val="18"/>
                <w:u w:val="none"/>
              </w:rPr>
            </w:pPr>
          </w:p>
        </w:tc>
        <w:tc>
          <w:tcPr>
            <w:tcW w:w="362" w:type="pct"/>
            <w:vMerge w:val="continue"/>
            <w:tcBorders>
              <w:top w:val="single" w:color="000000" w:sz="4" w:space="0"/>
              <w:left w:val="single" w:color="000000" w:sz="4" w:space="0"/>
              <w:bottom w:val="nil"/>
              <w:right w:val="single" w:color="000000" w:sz="4" w:space="0"/>
            </w:tcBorders>
            <w:shd w:val="clear" w:color="auto" w:fill="auto"/>
            <w:vAlign w:val="center"/>
          </w:tcPr>
          <w:p w14:paraId="34453434">
            <w:pPr>
              <w:jc w:val="center"/>
              <w:rPr>
                <w:rFonts w:hint="eastAsia" w:ascii="宋体" w:hAnsi="宋体" w:eastAsia="宋体" w:cs="宋体"/>
                <w:i w:val="0"/>
                <w:iCs w:val="0"/>
                <w:color w:val="000000"/>
                <w:sz w:val="18"/>
                <w:szCs w:val="18"/>
                <w:u w:val="none"/>
              </w:rPr>
            </w:pPr>
          </w:p>
        </w:tc>
        <w:tc>
          <w:tcPr>
            <w:tcW w:w="361" w:type="pct"/>
            <w:vMerge w:val="restart"/>
            <w:tcBorders>
              <w:top w:val="single" w:color="000000" w:sz="4" w:space="0"/>
              <w:left w:val="single" w:color="000000" w:sz="4" w:space="0"/>
              <w:bottom w:val="nil"/>
              <w:right w:val="single" w:color="000000" w:sz="4" w:space="0"/>
            </w:tcBorders>
            <w:shd w:val="clear" w:color="auto" w:fill="auto"/>
            <w:vAlign w:val="center"/>
          </w:tcPr>
          <w:p w14:paraId="76279E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443" w:type="pct"/>
            <w:tcBorders>
              <w:top w:val="single" w:color="000000" w:sz="4" w:space="0"/>
              <w:left w:val="single" w:color="000000" w:sz="4" w:space="0"/>
              <w:bottom w:val="nil"/>
              <w:right w:val="single" w:color="000000" w:sz="4" w:space="0"/>
            </w:tcBorders>
            <w:shd w:val="clear" w:color="auto" w:fill="auto"/>
            <w:vAlign w:val="center"/>
          </w:tcPr>
          <w:p w14:paraId="297BF3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项目资金缴纳足额率</w:t>
            </w:r>
          </w:p>
        </w:tc>
        <w:tc>
          <w:tcPr>
            <w:tcW w:w="329" w:type="pct"/>
            <w:tcBorders>
              <w:top w:val="single" w:color="000000" w:sz="4" w:space="0"/>
              <w:left w:val="single" w:color="000000" w:sz="4" w:space="0"/>
              <w:bottom w:val="nil"/>
              <w:right w:val="single" w:color="000000" w:sz="4" w:space="0"/>
            </w:tcBorders>
            <w:shd w:val="clear" w:color="auto" w:fill="auto"/>
            <w:vAlign w:val="center"/>
          </w:tcPr>
          <w:p w14:paraId="4525AB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32" w:type="pct"/>
            <w:tcBorders>
              <w:top w:val="single" w:color="000000" w:sz="4" w:space="0"/>
              <w:left w:val="single" w:color="000000" w:sz="4" w:space="0"/>
              <w:bottom w:val="nil"/>
              <w:right w:val="single" w:color="000000" w:sz="4" w:space="0"/>
            </w:tcBorders>
            <w:shd w:val="clear" w:color="auto" w:fill="auto"/>
            <w:vAlign w:val="center"/>
          </w:tcPr>
          <w:p w14:paraId="7BBDB2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90" w:type="pct"/>
            <w:tcBorders>
              <w:top w:val="single" w:color="000000" w:sz="4" w:space="0"/>
              <w:left w:val="single" w:color="000000" w:sz="4" w:space="0"/>
              <w:bottom w:val="nil"/>
              <w:right w:val="single" w:color="000000" w:sz="4" w:space="0"/>
            </w:tcBorders>
            <w:shd w:val="clear" w:color="auto" w:fill="auto"/>
            <w:vAlign w:val="center"/>
          </w:tcPr>
          <w:p w14:paraId="7E55B0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90" w:type="pct"/>
            <w:tcBorders>
              <w:top w:val="single" w:color="000000" w:sz="4" w:space="0"/>
              <w:left w:val="single" w:color="000000" w:sz="4" w:space="0"/>
              <w:bottom w:val="nil"/>
              <w:right w:val="single" w:color="000000" w:sz="4" w:space="0"/>
            </w:tcBorders>
            <w:shd w:val="clear" w:color="auto" w:fill="auto"/>
            <w:vAlign w:val="center"/>
          </w:tcPr>
          <w:p w14:paraId="4FC992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49" w:type="pct"/>
            <w:tcBorders>
              <w:top w:val="single" w:color="000000" w:sz="4" w:space="0"/>
              <w:left w:val="single" w:color="000000" w:sz="4" w:space="0"/>
              <w:bottom w:val="nil"/>
              <w:right w:val="single" w:color="000000" w:sz="4" w:space="0"/>
            </w:tcBorders>
            <w:shd w:val="clear" w:color="auto" w:fill="auto"/>
            <w:vAlign w:val="center"/>
          </w:tcPr>
          <w:p w14:paraId="40B29F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153245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56" w:type="pct"/>
            <w:tcBorders>
              <w:top w:val="single" w:color="000000" w:sz="4" w:space="0"/>
              <w:left w:val="single" w:color="000000" w:sz="4" w:space="0"/>
              <w:bottom w:val="nil"/>
              <w:right w:val="single" w:color="000000" w:sz="4" w:space="0"/>
            </w:tcBorders>
            <w:shd w:val="clear" w:color="auto" w:fill="auto"/>
            <w:vAlign w:val="center"/>
          </w:tcPr>
          <w:p w14:paraId="1F58DA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84" w:type="pct"/>
            <w:tcBorders>
              <w:top w:val="single" w:color="000000" w:sz="4" w:space="0"/>
              <w:left w:val="single" w:color="000000" w:sz="4" w:space="0"/>
              <w:bottom w:val="nil"/>
              <w:right w:val="single" w:color="000000" w:sz="4" w:space="0"/>
            </w:tcBorders>
            <w:shd w:val="clear" w:color="auto" w:fill="auto"/>
            <w:vAlign w:val="center"/>
          </w:tcPr>
          <w:p w14:paraId="035D7966">
            <w:pPr>
              <w:jc w:val="center"/>
              <w:rPr>
                <w:rFonts w:hint="eastAsia" w:ascii="宋体" w:hAnsi="宋体" w:eastAsia="宋体" w:cs="宋体"/>
                <w:i w:val="0"/>
                <w:iCs w:val="0"/>
                <w:color w:val="000000"/>
                <w:sz w:val="18"/>
                <w:szCs w:val="18"/>
                <w:u w:val="none"/>
              </w:rPr>
            </w:pPr>
          </w:p>
        </w:tc>
      </w:tr>
      <w:tr w14:paraId="6BDC2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61" w:type="pct"/>
            <w:vMerge w:val="continue"/>
            <w:tcBorders>
              <w:top w:val="single" w:color="000000" w:sz="4" w:space="0"/>
              <w:left w:val="single" w:color="000000" w:sz="4" w:space="0"/>
              <w:bottom w:val="nil"/>
              <w:right w:val="single" w:color="000000" w:sz="4" w:space="0"/>
            </w:tcBorders>
            <w:shd w:val="clear" w:color="auto" w:fill="auto"/>
            <w:vAlign w:val="center"/>
          </w:tcPr>
          <w:p w14:paraId="081445E7">
            <w:pPr>
              <w:jc w:val="center"/>
              <w:rPr>
                <w:rFonts w:hint="eastAsia" w:ascii="宋体" w:hAnsi="宋体" w:eastAsia="宋体" w:cs="宋体"/>
                <w:i w:val="0"/>
                <w:iCs w:val="0"/>
                <w:color w:val="000000"/>
                <w:sz w:val="18"/>
                <w:szCs w:val="18"/>
                <w:u w:val="none"/>
              </w:rPr>
            </w:pPr>
          </w:p>
        </w:tc>
        <w:tc>
          <w:tcPr>
            <w:tcW w:w="362" w:type="pct"/>
            <w:vMerge w:val="continue"/>
            <w:tcBorders>
              <w:top w:val="single" w:color="000000" w:sz="4" w:space="0"/>
              <w:left w:val="single" w:color="000000" w:sz="4" w:space="0"/>
              <w:bottom w:val="nil"/>
              <w:right w:val="single" w:color="000000" w:sz="4" w:space="0"/>
            </w:tcBorders>
            <w:shd w:val="clear" w:color="auto" w:fill="auto"/>
            <w:vAlign w:val="center"/>
          </w:tcPr>
          <w:p w14:paraId="58AC4232">
            <w:pPr>
              <w:jc w:val="center"/>
              <w:rPr>
                <w:rFonts w:hint="eastAsia" w:ascii="宋体" w:hAnsi="宋体" w:eastAsia="宋体" w:cs="宋体"/>
                <w:i w:val="0"/>
                <w:iCs w:val="0"/>
                <w:color w:val="000000"/>
                <w:sz w:val="18"/>
                <w:szCs w:val="18"/>
                <w:u w:val="none"/>
              </w:rPr>
            </w:pPr>
          </w:p>
        </w:tc>
        <w:tc>
          <w:tcPr>
            <w:tcW w:w="361" w:type="pct"/>
            <w:vMerge w:val="continue"/>
            <w:tcBorders>
              <w:top w:val="single" w:color="000000" w:sz="4" w:space="0"/>
              <w:left w:val="single" w:color="000000" w:sz="4" w:space="0"/>
              <w:bottom w:val="nil"/>
              <w:right w:val="single" w:color="000000" w:sz="4" w:space="0"/>
            </w:tcBorders>
            <w:shd w:val="clear" w:color="auto" w:fill="auto"/>
            <w:vAlign w:val="center"/>
          </w:tcPr>
          <w:p w14:paraId="70D5CFE6">
            <w:pPr>
              <w:jc w:val="center"/>
              <w:rPr>
                <w:rFonts w:hint="eastAsia" w:ascii="宋体" w:hAnsi="宋体" w:eastAsia="宋体" w:cs="宋体"/>
                <w:i w:val="0"/>
                <w:iCs w:val="0"/>
                <w:color w:val="000000"/>
                <w:sz w:val="18"/>
                <w:szCs w:val="18"/>
                <w:u w:val="none"/>
              </w:rPr>
            </w:pPr>
          </w:p>
        </w:tc>
        <w:tc>
          <w:tcPr>
            <w:tcW w:w="443" w:type="pct"/>
            <w:tcBorders>
              <w:top w:val="single" w:color="000000" w:sz="4" w:space="0"/>
              <w:left w:val="single" w:color="000000" w:sz="4" w:space="0"/>
              <w:bottom w:val="nil"/>
              <w:right w:val="single" w:color="000000" w:sz="4" w:space="0"/>
            </w:tcBorders>
            <w:shd w:val="clear" w:color="auto" w:fill="auto"/>
            <w:vAlign w:val="center"/>
          </w:tcPr>
          <w:p w14:paraId="6C189F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缴纳托管企业职工社会保障缴费人数覆盖率</w:t>
            </w:r>
          </w:p>
        </w:tc>
        <w:tc>
          <w:tcPr>
            <w:tcW w:w="329" w:type="pct"/>
            <w:tcBorders>
              <w:top w:val="single" w:color="000000" w:sz="4" w:space="0"/>
              <w:left w:val="single" w:color="000000" w:sz="4" w:space="0"/>
              <w:bottom w:val="nil"/>
              <w:right w:val="single" w:color="000000" w:sz="4" w:space="0"/>
            </w:tcBorders>
            <w:shd w:val="clear" w:color="auto" w:fill="auto"/>
            <w:vAlign w:val="center"/>
          </w:tcPr>
          <w:p w14:paraId="56440D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32" w:type="pct"/>
            <w:tcBorders>
              <w:top w:val="single" w:color="000000" w:sz="4" w:space="0"/>
              <w:left w:val="single" w:color="000000" w:sz="4" w:space="0"/>
              <w:bottom w:val="nil"/>
              <w:right w:val="single" w:color="000000" w:sz="4" w:space="0"/>
            </w:tcBorders>
            <w:shd w:val="clear" w:color="auto" w:fill="auto"/>
            <w:vAlign w:val="center"/>
          </w:tcPr>
          <w:p w14:paraId="4416E3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90" w:type="pct"/>
            <w:tcBorders>
              <w:top w:val="single" w:color="000000" w:sz="4" w:space="0"/>
              <w:left w:val="single" w:color="000000" w:sz="4" w:space="0"/>
              <w:bottom w:val="nil"/>
              <w:right w:val="single" w:color="000000" w:sz="4" w:space="0"/>
            </w:tcBorders>
            <w:shd w:val="clear" w:color="auto" w:fill="auto"/>
            <w:vAlign w:val="center"/>
          </w:tcPr>
          <w:p w14:paraId="2199F0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90" w:type="pct"/>
            <w:tcBorders>
              <w:top w:val="single" w:color="000000" w:sz="4" w:space="0"/>
              <w:left w:val="single" w:color="000000" w:sz="4" w:space="0"/>
              <w:bottom w:val="nil"/>
              <w:right w:val="single" w:color="000000" w:sz="4" w:space="0"/>
            </w:tcBorders>
            <w:shd w:val="clear" w:color="auto" w:fill="auto"/>
            <w:vAlign w:val="center"/>
          </w:tcPr>
          <w:p w14:paraId="14648F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49" w:type="pct"/>
            <w:tcBorders>
              <w:top w:val="single" w:color="000000" w:sz="4" w:space="0"/>
              <w:left w:val="single" w:color="000000" w:sz="4" w:space="0"/>
              <w:bottom w:val="nil"/>
              <w:right w:val="single" w:color="000000" w:sz="4" w:space="0"/>
            </w:tcBorders>
            <w:shd w:val="clear" w:color="auto" w:fill="auto"/>
            <w:vAlign w:val="center"/>
          </w:tcPr>
          <w:p w14:paraId="1A2B3D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1F59CA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56" w:type="pct"/>
            <w:tcBorders>
              <w:top w:val="single" w:color="000000" w:sz="4" w:space="0"/>
              <w:left w:val="single" w:color="000000" w:sz="4" w:space="0"/>
              <w:bottom w:val="nil"/>
              <w:right w:val="single" w:color="000000" w:sz="4" w:space="0"/>
            </w:tcBorders>
            <w:shd w:val="clear" w:color="auto" w:fill="auto"/>
            <w:vAlign w:val="center"/>
          </w:tcPr>
          <w:p w14:paraId="0871F5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84" w:type="pct"/>
            <w:tcBorders>
              <w:top w:val="single" w:color="000000" w:sz="4" w:space="0"/>
              <w:left w:val="single" w:color="000000" w:sz="4" w:space="0"/>
              <w:bottom w:val="nil"/>
              <w:right w:val="single" w:color="000000" w:sz="4" w:space="0"/>
            </w:tcBorders>
            <w:shd w:val="clear" w:color="auto" w:fill="auto"/>
            <w:vAlign w:val="center"/>
          </w:tcPr>
          <w:p w14:paraId="2A96C374">
            <w:pPr>
              <w:jc w:val="center"/>
              <w:rPr>
                <w:rFonts w:hint="eastAsia" w:ascii="宋体" w:hAnsi="宋体" w:eastAsia="宋体" w:cs="宋体"/>
                <w:i w:val="0"/>
                <w:iCs w:val="0"/>
                <w:color w:val="000000"/>
                <w:sz w:val="18"/>
                <w:szCs w:val="18"/>
                <w:u w:val="none"/>
              </w:rPr>
            </w:pPr>
          </w:p>
        </w:tc>
      </w:tr>
      <w:tr w14:paraId="606F41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61" w:type="pct"/>
            <w:vMerge w:val="continue"/>
            <w:tcBorders>
              <w:top w:val="single" w:color="000000" w:sz="4" w:space="0"/>
              <w:left w:val="single" w:color="000000" w:sz="4" w:space="0"/>
              <w:bottom w:val="nil"/>
              <w:right w:val="single" w:color="000000" w:sz="4" w:space="0"/>
            </w:tcBorders>
            <w:shd w:val="clear" w:color="auto" w:fill="auto"/>
            <w:vAlign w:val="center"/>
          </w:tcPr>
          <w:p w14:paraId="1D08601C">
            <w:pPr>
              <w:jc w:val="center"/>
              <w:rPr>
                <w:rFonts w:hint="eastAsia" w:ascii="宋体" w:hAnsi="宋体" w:eastAsia="宋体" w:cs="宋体"/>
                <w:i w:val="0"/>
                <w:iCs w:val="0"/>
                <w:color w:val="000000"/>
                <w:sz w:val="18"/>
                <w:szCs w:val="18"/>
                <w:u w:val="none"/>
              </w:rPr>
            </w:pPr>
          </w:p>
        </w:tc>
        <w:tc>
          <w:tcPr>
            <w:tcW w:w="362" w:type="pct"/>
            <w:vMerge w:val="continue"/>
            <w:tcBorders>
              <w:top w:val="single" w:color="000000" w:sz="4" w:space="0"/>
              <w:left w:val="single" w:color="000000" w:sz="4" w:space="0"/>
              <w:bottom w:val="nil"/>
              <w:right w:val="single" w:color="000000" w:sz="4" w:space="0"/>
            </w:tcBorders>
            <w:shd w:val="clear" w:color="auto" w:fill="auto"/>
            <w:vAlign w:val="center"/>
          </w:tcPr>
          <w:p w14:paraId="489DB100">
            <w:pPr>
              <w:jc w:val="center"/>
              <w:rPr>
                <w:rFonts w:hint="eastAsia" w:ascii="宋体" w:hAnsi="宋体" w:eastAsia="宋体" w:cs="宋体"/>
                <w:i w:val="0"/>
                <w:iCs w:val="0"/>
                <w:color w:val="000000"/>
                <w:sz w:val="18"/>
                <w:szCs w:val="18"/>
                <w:u w:val="none"/>
              </w:rPr>
            </w:pPr>
          </w:p>
        </w:tc>
        <w:tc>
          <w:tcPr>
            <w:tcW w:w="361" w:type="pct"/>
            <w:vMerge w:val="continue"/>
            <w:tcBorders>
              <w:top w:val="single" w:color="000000" w:sz="4" w:space="0"/>
              <w:left w:val="single" w:color="000000" w:sz="4" w:space="0"/>
              <w:bottom w:val="nil"/>
              <w:right w:val="single" w:color="000000" w:sz="4" w:space="0"/>
            </w:tcBorders>
            <w:shd w:val="clear" w:color="auto" w:fill="auto"/>
            <w:vAlign w:val="center"/>
          </w:tcPr>
          <w:p w14:paraId="68A298A8">
            <w:pPr>
              <w:jc w:val="center"/>
              <w:rPr>
                <w:rFonts w:hint="eastAsia" w:ascii="宋体" w:hAnsi="宋体" w:eastAsia="宋体" w:cs="宋体"/>
                <w:i w:val="0"/>
                <w:iCs w:val="0"/>
                <w:color w:val="000000"/>
                <w:sz w:val="18"/>
                <w:szCs w:val="18"/>
                <w:u w:val="none"/>
              </w:rPr>
            </w:pPr>
          </w:p>
        </w:tc>
        <w:tc>
          <w:tcPr>
            <w:tcW w:w="443" w:type="pct"/>
            <w:tcBorders>
              <w:top w:val="single" w:color="000000" w:sz="4" w:space="0"/>
              <w:left w:val="single" w:color="000000" w:sz="4" w:space="0"/>
              <w:bottom w:val="nil"/>
              <w:right w:val="single" w:color="000000" w:sz="4" w:space="0"/>
            </w:tcBorders>
            <w:shd w:val="clear" w:color="auto" w:fill="auto"/>
            <w:vAlign w:val="center"/>
          </w:tcPr>
          <w:p w14:paraId="564DC1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缴纳退休职工医疗安置费人数覆盖率</w:t>
            </w:r>
          </w:p>
        </w:tc>
        <w:tc>
          <w:tcPr>
            <w:tcW w:w="329" w:type="pct"/>
            <w:tcBorders>
              <w:top w:val="single" w:color="000000" w:sz="4" w:space="0"/>
              <w:left w:val="single" w:color="000000" w:sz="4" w:space="0"/>
              <w:bottom w:val="nil"/>
              <w:right w:val="single" w:color="000000" w:sz="4" w:space="0"/>
            </w:tcBorders>
            <w:shd w:val="clear" w:color="auto" w:fill="auto"/>
            <w:vAlign w:val="center"/>
          </w:tcPr>
          <w:p w14:paraId="3ED2F4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32" w:type="pct"/>
            <w:tcBorders>
              <w:top w:val="single" w:color="000000" w:sz="4" w:space="0"/>
              <w:left w:val="single" w:color="000000" w:sz="4" w:space="0"/>
              <w:bottom w:val="nil"/>
              <w:right w:val="single" w:color="000000" w:sz="4" w:space="0"/>
            </w:tcBorders>
            <w:shd w:val="clear" w:color="auto" w:fill="auto"/>
            <w:vAlign w:val="center"/>
          </w:tcPr>
          <w:p w14:paraId="2DF032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90" w:type="pct"/>
            <w:tcBorders>
              <w:top w:val="single" w:color="000000" w:sz="4" w:space="0"/>
              <w:left w:val="single" w:color="000000" w:sz="4" w:space="0"/>
              <w:bottom w:val="nil"/>
              <w:right w:val="single" w:color="000000" w:sz="4" w:space="0"/>
            </w:tcBorders>
            <w:shd w:val="clear" w:color="auto" w:fill="auto"/>
            <w:vAlign w:val="center"/>
          </w:tcPr>
          <w:p w14:paraId="6665AC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390" w:type="pct"/>
            <w:tcBorders>
              <w:top w:val="single" w:color="000000" w:sz="4" w:space="0"/>
              <w:left w:val="single" w:color="000000" w:sz="4" w:space="0"/>
              <w:bottom w:val="nil"/>
              <w:right w:val="single" w:color="000000" w:sz="4" w:space="0"/>
            </w:tcBorders>
            <w:shd w:val="clear" w:color="auto" w:fill="auto"/>
            <w:vAlign w:val="center"/>
          </w:tcPr>
          <w:p w14:paraId="280D0B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349" w:type="pct"/>
            <w:tcBorders>
              <w:top w:val="single" w:color="000000" w:sz="4" w:space="0"/>
              <w:left w:val="single" w:color="000000" w:sz="4" w:space="0"/>
              <w:bottom w:val="nil"/>
              <w:right w:val="single" w:color="000000" w:sz="4" w:space="0"/>
            </w:tcBorders>
            <w:shd w:val="clear" w:color="auto" w:fill="auto"/>
            <w:vAlign w:val="center"/>
          </w:tcPr>
          <w:p w14:paraId="7C9FBE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59757B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56" w:type="pct"/>
            <w:tcBorders>
              <w:top w:val="single" w:color="000000" w:sz="4" w:space="0"/>
              <w:left w:val="single" w:color="000000" w:sz="4" w:space="0"/>
              <w:bottom w:val="nil"/>
              <w:right w:val="single" w:color="000000" w:sz="4" w:space="0"/>
            </w:tcBorders>
            <w:shd w:val="clear" w:color="auto" w:fill="auto"/>
            <w:vAlign w:val="center"/>
          </w:tcPr>
          <w:p w14:paraId="650F10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84" w:type="pct"/>
            <w:tcBorders>
              <w:top w:val="single" w:color="000000" w:sz="4" w:space="0"/>
              <w:left w:val="single" w:color="000000" w:sz="4" w:space="0"/>
              <w:bottom w:val="nil"/>
              <w:right w:val="single" w:color="000000" w:sz="4" w:space="0"/>
            </w:tcBorders>
            <w:shd w:val="clear" w:color="auto" w:fill="auto"/>
            <w:vAlign w:val="center"/>
          </w:tcPr>
          <w:p w14:paraId="4E241921">
            <w:pPr>
              <w:jc w:val="center"/>
              <w:rPr>
                <w:rFonts w:hint="eastAsia" w:ascii="宋体" w:hAnsi="宋体" w:eastAsia="宋体" w:cs="宋体"/>
                <w:i w:val="0"/>
                <w:iCs w:val="0"/>
                <w:color w:val="000000"/>
                <w:sz w:val="18"/>
                <w:szCs w:val="18"/>
                <w:u w:val="none"/>
              </w:rPr>
            </w:pPr>
          </w:p>
        </w:tc>
      </w:tr>
      <w:tr w14:paraId="35A02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61" w:type="pct"/>
            <w:vMerge w:val="continue"/>
            <w:tcBorders>
              <w:top w:val="single" w:color="000000" w:sz="4" w:space="0"/>
              <w:left w:val="single" w:color="000000" w:sz="4" w:space="0"/>
              <w:bottom w:val="nil"/>
              <w:right w:val="single" w:color="000000" w:sz="4" w:space="0"/>
            </w:tcBorders>
            <w:shd w:val="clear" w:color="auto" w:fill="auto"/>
            <w:vAlign w:val="center"/>
          </w:tcPr>
          <w:p w14:paraId="41436493">
            <w:pPr>
              <w:jc w:val="center"/>
              <w:rPr>
                <w:rFonts w:hint="eastAsia" w:ascii="宋体" w:hAnsi="宋体" w:eastAsia="宋体" w:cs="宋体"/>
                <w:i w:val="0"/>
                <w:iCs w:val="0"/>
                <w:color w:val="000000"/>
                <w:sz w:val="18"/>
                <w:szCs w:val="18"/>
                <w:u w:val="none"/>
              </w:rPr>
            </w:pPr>
          </w:p>
        </w:tc>
        <w:tc>
          <w:tcPr>
            <w:tcW w:w="362" w:type="pct"/>
            <w:vMerge w:val="continue"/>
            <w:tcBorders>
              <w:top w:val="single" w:color="000000" w:sz="4" w:space="0"/>
              <w:left w:val="single" w:color="000000" w:sz="4" w:space="0"/>
              <w:bottom w:val="nil"/>
              <w:right w:val="single" w:color="000000" w:sz="4" w:space="0"/>
            </w:tcBorders>
            <w:shd w:val="clear" w:color="auto" w:fill="auto"/>
            <w:vAlign w:val="center"/>
          </w:tcPr>
          <w:p w14:paraId="280BEB3F">
            <w:pPr>
              <w:jc w:val="center"/>
              <w:rPr>
                <w:rFonts w:hint="eastAsia" w:ascii="宋体" w:hAnsi="宋体" w:eastAsia="宋体" w:cs="宋体"/>
                <w:i w:val="0"/>
                <w:iCs w:val="0"/>
                <w:color w:val="000000"/>
                <w:sz w:val="18"/>
                <w:szCs w:val="18"/>
                <w:u w:val="none"/>
              </w:rPr>
            </w:pPr>
          </w:p>
        </w:tc>
        <w:tc>
          <w:tcPr>
            <w:tcW w:w="361" w:type="pct"/>
            <w:vMerge w:val="restart"/>
            <w:tcBorders>
              <w:top w:val="single" w:color="000000" w:sz="4" w:space="0"/>
              <w:left w:val="single" w:color="000000" w:sz="4" w:space="0"/>
              <w:bottom w:val="nil"/>
              <w:right w:val="single" w:color="000000" w:sz="4" w:space="0"/>
            </w:tcBorders>
            <w:shd w:val="clear" w:color="auto" w:fill="auto"/>
            <w:vAlign w:val="center"/>
          </w:tcPr>
          <w:p w14:paraId="1E55EC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443" w:type="pct"/>
            <w:tcBorders>
              <w:top w:val="single" w:color="000000" w:sz="4" w:space="0"/>
              <w:left w:val="single" w:color="000000" w:sz="4" w:space="0"/>
              <w:bottom w:val="nil"/>
              <w:right w:val="single" w:color="000000" w:sz="4" w:space="0"/>
            </w:tcBorders>
            <w:shd w:val="clear" w:color="auto" w:fill="auto"/>
            <w:vAlign w:val="center"/>
          </w:tcPr>
          <w:p w14:paraId="2B8CD8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缴纳社会保障缴费及时率</w:t>
            </w:r>
          </w:p>
        </w:tc>
        <w:tc>
          <w:tcPr>
            <w:tcW w:w="329" w:type="pct"/>
            <w:tcBorders>
              <w:top w:val="single" w:color="000000" w:sz="4" w:space="0"/>
              <w:left w:val="single" w:color="000000" w:sz="4" w:space="0"/>
              <w:bottom w:val="nil"/>
              <w:right w:val="single" w:color="000000" w:sz="4" w:space="0"/>
            </w:tcBorders>
            <w:shd w:val="clear" w:color="auto" w:fill="auto"/>
            <w:vAlign w:val="center"/>
          </w:tcPr>
          <w:p w14:paraId="67F6FD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32" w:type="pct"/>
            <w:tcBorders>
              <w:top w:val="single" w:color="000000" w:sz="4" w:space="0"/>
              <w:left w:val="single" w:color="000000" w:sz="4" w:space="0"/>
              <w:bottom w:val="nil"/>
              <w:right w:val="single" w:color="000000" w:sz="4" w:space="0"/>
            </w:tcBorders>
            <w:shd w:val="clear" w:color="auto" w:fill="auto"/>
            <w:vAlign w:val="center"/>
          </w:tcPr>
          <w:p w14:paraId="6F50B7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90" w:type="pct"/>
            <w:tcBorders>
              <w:top w:val="single" w:color="000000" w:sz="4" w:space="0"/>
              <w:left w:val="single" w:color="000000" w:sz="4" w:space="0"/>
              <w:bottom w:val="nil"/>
              <w:right w:val="single" w:color="000000" w:sz="4" w:space="0"/>
            </w:tcBorders>
            <w:shd w:val="clear" w:color="auto" w:fill="auto"/>
            <w:vAlign w:val="center"/>
          </w:tcPr>
          <w:p w14:paraId="522580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390" w:type="pct"/>
            <w:tcBorders>
              <w:top w:val="single" w:color="000000" w:sz="4" w:space="0"/>
              <w:left w:val="single" w:color="000000" w:sz="4" w:space="0"/>
              <w:bottom w:val="nil"/>
              <w:right w:val="single" w:color="000000" w:sz="4" w:space="0"/>
            </w:tcBorders>
            <w:shd w:val="clear" w:color="auto" w:fill="auto"/>
            <w:vAlign w:val="center"/>
          </w:tcPr>
          <w:p w14:paraId="6EA7C6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349" w:type="pct"/>
            <w:tcBorders>
              <w:top w:val="single" w:color="000000" w:sz="4" w:space="0"/>
              <w:left w:val="single" w:color="000000" w:sz="4" w:space="0"/>
              <w:bottom w:val="nil"/>
              <w:right w:val="single" w:color="000000" w:sz="4" w:space="0"/>
            </w:tcBorders>
            <w:shd w:val="clear" w:color="auto" w:fill="auto"/>
            <w:vAlign w:val="center"/>
          </w:tcPr>
          <w:p w14:paraId="0136D6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570417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56" w:type="pct"/>
            <w:tcBorders>
              <w:top w:val="single" w:color="000000" w:sz="4" w:space="0"/>
              <w:left w:val="single" w:color="000000" w:sz="4" w:space="0"/>
              <w:bottom w:val="nil"/>
              <w:right w:val="single" w:color="000000" w:sz="4" w:space="0"/>
            </w:tcBorders>
            <w:shd w:val="clear" w:color="auto" w:fill="auto"/>
            <w:vAlign w:val="center"/>
          </w:tcPr>
          <w:p w14:paraId="7F9C0C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84" w:type="pct"/>
            <w:tcBorders>
              <w:top w:val="single" w:color="000000" w:sz="4" w:space="0"/>
              <w:left w:val="single" w:color="000000" w:sz="4" w:space="0"/>
              <w:bottom w:val="nil"/>
              <w:right w:val="single" w:color="000000" w:sz="4" w:space="0"/>
            </w:tcBorders>
            <w:shd w:val="clear" w:color="auto" w:fill="auto"/>
            <w:vAlign w:val="center"/>
          </w:tcPr>
          <w:p w14:paraId="50E70B3A">
            <w:pPr>
              <w:jc w:val="center"/>
              <w:rPr>
                <w:rFonts w:hint="eastAsia" w:ascii="宋体" w:hAnsi="宋体" w:eastAsia="宋体" w:cs="宋体"/>
                <w:i w:val="0"/>
                <w:iCs w:val="0"/>
                <w:color w:val="000000"/>
                <w:sz w:val="18"/>
                <w:szCs w:val="18"/>
                <w:u w:val="none"/>
              </w:rPr>
            </w:pPr>
          </w:p>
        </w:tc>
      </w:tr>
      <w:tr w14:paraId="43016F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61" w:type="pct"/>
            <w:vMerge w:val="continue"/>
            <w:tcBorders>
              <w:top w:val="single" w:color="000000" w:sz="4" w:space="0"/>
              <w:left w:val="single" w:color="000000" w:sz="4" w:space="0"/>
              <w:bottom w:val="nil"/>
              <w:right w:val="single" w:color="000000" w:sz="4" w:space="0"/>
            </w:tcBorders>
            <w:shd w:val="clear" w:color="auto" w:fill="auto"/>
            <w:vAlign w:val="center"/>
          </w:tcPr>
          <w:p w14:paraId="4293CBC9">
            <w:pPr>
              <w:jc w:val="center"/>
              <w:rPr>
                <w:rFonts w:hint="eastAsia" w:ascii="宋体" w:hAnsi="宋体" w:eastAsia="宋体" w:cs="宋体"/>
                <w:i w:val="0"/>
                <w:iCs w:val="0"/>
                <w:color w:val="000000"/>
                <w:sz w:val="18"/>
                <w:szCs w:val="18"/>
                <w:u w:val="none"/>
              </w:rPr>
            </w:pPr>
          </w:p>
        </w:tc>
        <w:tc>
          <w:tcPr>
            <w:tcW w:w="362" w:type="pct"/>
            <w:vMerge w:val="continue"/>
            <w:tcBorders>
              <w:top w:val="single" w:color="000000" w:sz="4" w:space="0"/>
              <w:left w:val="single" w:color="000000" w:sz="4" w:space="0"/>
              <w:bottom w:val="nil"/>
              <w:right w:val="single" w:color="000000" w:sz="4" w:space="0"/>
            </w:tcBorders>
            <w:shd w:val="clear" w:color="auto" w:fill="auto"/>
            <w:vAlign w:val="center"/>
          </w:tcPr>
          <w:p w14:paraId="4FADE398">
            <w:pPr>
              <w:jc w:val="center"/>
              <w:rPr>
                <w:rFonts w:hint="eastAsia" w:ascii="宋体" w:hAnsi="宋体" w:eastAsia="宋体" w:cs="宋体"/>
                <w:i w:val="0"/>
                <w:iCs w:val="0"/>
                <w:color w:val="000000"/>
                <w:sz w:val="18"/>
                <w:szCs w:val="18"/>
                <w:u w:val="none"/>
              </w:rPr>
            </w:pPr>
          </w:p>
        </w:tc>
        <w:tc>
          <w:tcPr>
            <w:tcW w:w="361" w:type="pct"/>
            <w:vMerge w:val="continue"/>
            <w:tcBorders>
              <w:top w:val="single" w:color="000000" w:sz="4" w:space="0"/>
              <w:left w:val="single" w:color="000000" w:sz="4" w:space="0"/>
              <w:bottom w:val="nil"/>
              <w:right w:val="single" w:color="000000" w:sz="4" w:space="0"/>
            </w:tcBorders>
            <w:shd w:val="clear" w:color="auto" w:fill="auto"/>
            <w:vAlign w:val="center"/>
          </w:tcPr>
          <w:p w14:paraId="45A407E9">
            <w:pPr>
              <w:jc w:val="center"/>
              <w:rPr>
                <w:rFonts w:hint="eastAsia" w:ascii="宋体" w:hAnsi="宋体" w:eastAsia="宋体" w:cs="宋体"/>
                <w:i w:val="0"/>
                <w:iCs w:val="0"/>
                <w:color w:val="000000"/>
                <w:sz w:val="18"/>
                <w:szCs w:val="18"/>
                <w:u w:val="none"/>
              </w:rPr>
            </w:pPr>
          </w:p>
        </w:tc>
        <w:tc>
          <w:tcPr>
            <w:tcW w:w="443" w:type="pct"/>
            <w:tcBorders>
              <w:top w:val="single" w:color="000000" w:sz="4" w:space="0"/>
              <w:left w:val="single" w:color="000000" w:sz="4" w:space="0"/>
              <w:bottom w:val="nil"/>
              <w:right w:val="single" w:color="000000" w:sz="4" w:space="0"/>
            </w:tcBorders>
            <w:shd w:val="clear" w:color="auto" w:fill="auto"/>
            <w:vAlign w:val="center"/>
          </w:tcPr>
          <w:p w14:paraId="06FB0E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缴纳退休一次性医疗安置费及时率</w:t>
            </w:r>
          </w:p>
        </w:tc>
        <w:tc>
          <w:tcPr>
            <w:tcW w:w="329" w:type="pct"/>
            <w:tcBorders>
              <w:top w:val="single" w:color="000000" w:sz="4" w:space="0"/>
              <w:left w:val="single" w:color="000000" w:sz="4" w:space="0"/>
              <w:bottom w:val="nil"/>
              <w:right w:val="single" w:color="000000" w:sz="4" w:space="0"/>
            </w:tcBorders>
            <w:shd w:val="clear" w:color="auto" w:fill="auto"/>
            <w:vAlign w:val="center"/>
          </w:tcPr>
          <w:p w14:paraId="58C980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32" w:type="pct"/>
            <w:tcBorders>
              <w:top w:val="single" w:color="000000" w:sz="4" w:space="0"/>
              <w:left w:val="single" w:color="000000" w:sz="4" w:space="0"/>
              <w:bottom w:val="nil"/>
              <w:right w:val="single" w:color="000000" w:sz="4" w:space="0"/>
            </w:tcBorders>
            <w:shd w:val="clear" w:color="auto" w:fill="auto"/>
            <w:vAlign w:val="center"/>
          </w:tcPr>
          <w:p w14:paraId="258880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90" w:type="pct"/>
            <w:tcBorders>
              <w:top w:val="single" w:color="000000" w:sz="4" w:space="0"/>
              <w:left w:val="single" w:color="000000" w:sz="4" w:space="0"/>
              <w:bottom w:val="nil"/>
              <w:right w:val="single" w:color="000000" w:sz="4" w:space="0"/>
            </w:tcBorders>
            <w:shd w:val="clear" w:color="auto" w:fill="auto"/>
            <w:vAlign w:val="center"/>
          </w:tcPr>
          <w:p w14:paraId="017F97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90" w:type="pct"/>
            <w:tcBorders>
              <w:top w:val="single" w:color="000000" w:sz="4" w:space="0"/>
              <w:left w:val="single" w:color="000000" w:sz="4" w:space="0"/>
              <w:bottom w:val="nil"/>
              <w:right w:val="single" w:color="000000" w:sz="4" w:space="0"/>
            </w:tcBorders>
            <w:shd w:val="clear" w:color="auto" w:fill="auto"/>
            <w:vAlign w:val="center"/>
          </w:tcPr>
          <w:p w14:paraId="198ABD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49" w:type="pct"/>
            <w:tcBorders>
              <w:top w:val="single" w:color="000000" w:sz="4" w:space="0"/>
              <w:left w:val="single" w:color="000000" w:sz="4" w:space="0"/>
              <w:bottom w:val="nil"/>
              <w:right w:val="single" w:color="000000" w:sz="4" w:space="0"/>
            </w:tcBorders>
            <w:shd w:val="clear" w:color="auto" w:fill="auto"/>
            <w:vAlign w:val="center"/>
          </w:tcPr>
          <w:p w14:paraId="35C8E2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1033F0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6" w:type="pct"/>
            <w:tcBorders>
              <w:top w:val="single" w:color="000000" w:sz="4" w:space="0"/>
              <w:left w:val="single" w:color="000000" w:sz="4" w:space="0"/>
              <w:bottom w:val="nil"/>
              <w:right w:val="single" w:color="000000" w:sz="4" w:space="0"/>
            </w:tcBorders>
            <w:shd w:val="clear" w:color="auto" w:fill="auto"/>
            <w:vAlign w:val="center"/>
          </w:tcPr>
          <w:p w14:paraId="5CE4A7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84" w:type="pct"/>
            <w:tcBorders>
              <w:top w:val="single" w:color="000000" w:sz="4" w:space="0"/>
              <w:left w:val="single" w:color="000000" w:sz="4" w:space="0"/>
              <w:bottom w:val="nil"/>
              <w:right w:val="single" w:color="000000" w:sz="4" w:space="0"/>
            </w:tcBorders>
            <w:shd w:val="clear" w:color="auto" w:fill="auto"/>
            <w:vAlign w:val="center"/>
          </w:tcPr>
          <w:p w14:paraId="0FDBE929">
            <w:pPr>
              <w:jc w:val="center"/>
              <w:rPr>
                <w:rFonts w:hint="eastAsia" w:ascii="宋体" w:hAnsi="宋体" w:eastAsia="宋体" w:cs="宋体"/>
                <w:i w:val="0"/>
                <w:iCs w:val="0"/>
                <w:color w:val="000000"/>
                <w:sz w:val="18"/>
                <w:szCs w:val="18"/>
                <w:u w:val="none"/>
              </w:rPr>
            </w:pPr>
          </w:p>
        </w:tc>
      </w:tr>
      <w:tr w14:paraId="42502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61" w:type="pct"/>
            <w:vMerge w:val="continue"/>
            <w:tcBorders>
              <w:top w:val="single" w:color="000000" w:sz="4" w:space="0"/>
              <w:left w:val="single" w:color="000000" w:sz="4" w:space="0"/>
              <w:bottom w:val="nil"/>
              <w:right w:val="single" w:color="000000" w:sz="4" w:space="0"/>
            </w:tcBorders>
            <w:shd w:val="clear" w:color="auto" w:fill="auto"/>
            <w:vAlign w:val="center"/>
          </w:tcPr>
          <w:p w14:paraId="30A48AAD">
            <w:pPr>
              <w:jc w:val="center"/>
              <w:rPr>
                <w:rFonts w:hint="eastAsia" w:ascii="宋体" w:hAnsi="宋体" w:eastAsia="宋体" w:cs="宋体"/>
                <w:i w:val="0"/>
                <w:iCs w:val="0"/>
                <w:color w:val="000000"/>
                <w:sz w:val="18"/>
                <w:szCs w:val="18"/>
                <w:u w:val="none"/>
              </w:rPr>
            </w:pPr>
          </w:p>
        </w:tc>
        <w:tc>
          <w:tcPr>
            <w:tcW w:w="362" w:type="pct"/>
            <w:vMerge w:val="continue"/>
            <w:tcBorders>
              <w:top w:val="single" w:color="000000" w:sz="4" w:space="0"/>
              <w:left w:val="single" w:color="000000" w:sz="4" w:space="0"/>
              <w:bottom w:val="nil"/>
              <w:right w:val="single" w:color="000000" w:sz="4" w:space="0"/>
            </w:tcBorders>
            <w:shd w:val="clear" w:color="auto" w:fill="auto"/>
            <w:vAlign w:val="center"/>
          </w:tcPr>
          <w:p w14:paraId="461AA200">
            <w:pPr>
              <w:jc w:val="center"/>
              <w:rPr>
                <w:rFonts w:hint="eastAsia" w:ascii="宋体" w:hAnsi="宋体" w:eastAsia="宋体" w:cs="宋体"/>
                <w:i w:val="0"/>
                <w:iCs w:val="0"/>
                <w:color w:val="000000"/>
                <w:sz w:val="18"/>
                <w:szCs w:val="18"/>
                <w:u w:val="none"/>
              </w:rPr>
            </w:pPr>
          </w:p>
        </w:tc>
        <w:tc>
          <w:tcPr>
            <w:tcW w:w="361" w:type="pct"/>
            <w:vMerge w:val="continue"/>
            <w:tcBorders>
              <w:top w:val="single" w:color="000000" w:sz="4" w:space="0"/>
              <w:left w:val="single" w:color="000000" w:sz="4" w:space="0"/>
              <w:bottom w:val="nil"/>
              <w:right w:val="single" w:color="000000" w:sz="4" w:space="0"/>
            </w:tcBorders>
            <w:shd w:val="clear" w:color="auto" w:fill="auto"/>
            <w:vAlign w:val="center"/>
          </w:tcPr>
          <w:p w14:paraId="1D5B3F86">
            <w:pPr>
              <w:jc w:val="center"/>
              <w:rPr>
                <w:rFonts w:hint="eastAsia" w:ascii="宋体" w:hAnsi="宋体" w:eastAsia="宋体" w:cs="宋体"/>
                <w:i w:val="0"/>
                <w:iCs w:val="0"/>
                <w:color w:val="000000"/>
                <w:sz w:val="18"/>
                <w:szCs w:val="18"/>
                <w:u w:val="none"/>
              </w:rPr>
            </w:pPr>
          </w:p>
        </w:tc>
        <w:tc>
          <w:tcPr>
            <w:tcW w:w="443" w:type="pct"/>
            <w:tcBorders>
              <w:top w:val="single" w:color="000000" w:sz="4" w:space="0"/>
              <w:left w:val="single" w:color="000000" w:sz="4" w:space="0"/>
              <w:bottom w:val="nil"/>
              <w:right w:val="single" w:color="000000" w:sz="4" w:space="0"/>
            </w:tcBorders>
            <w:shd w:val="clear" w:color="auto" w:fill="auto"/>
            <w:vAlign w:val="center"/>
          </w:tcPr>
          <w:p w14:paraId="33DE56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项目工作完成时间</w:t>
            </w:r>
          </w:p>
        </w:tc>
        <w:tc>
          <w:tcPr>
            <w:tcW w:w="329" w:type="pct"/>
            <w:tcBorders>
              <w:top w:val="single" w:color="000000" w:sz="4" w:space="0"/>
              <w:left w:val="single" w:color="000000" w:sz="4" w:space="0"/>
              <w:bottom w:val="nil"/>
              <w:right w:val="single" w:color="000000" w:sz="4" w:space="0"/>
            </w:tcBorders>
            <w:shd w:val="clear" w:color="auto" w:fill="auto"/>
            <w:vAlign w:val="center"/>
          </w:tcPr>
          <w:p w14:paraId="0D107C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32" w:type="pct"/>
            <w:tcBorders>
              <w:top w:val="single" w:color="000000" w:sz="4" w:space="0"/>
              <w:left w:val="single" w:color="000000" w:sz="4" w:space="0"/>
              <w:bottom w:val="nil"/>
              <w:right w:val="single" w:color="000000" w:sz="4" w:space="0"/>
            </w:tcBorders>
            <w:shd w:val="clear" w:color="auto" w:fill="auto"/>
            <w:vAlign w:val="center"/>
          </w:tcPr>
          <w:p w14:paraId="289541EF">
            <w:pPr>
              <w:jc w:val="center"/>
              <w:rPr>
                <w:rFonts w:hint="eastAsia" w:ascii="宋体" w:hAnsi="宋体" w:eastAsia="宋体" w:cs="宋体"/>
                <w:i w:val="0"/>
                <w:iCs w:val="0"/>
                <w:color w:val="000000"/>
                <w:sz w:val="18"/>
                <w:szCs w:val="18"/>
                <w:u w:val="none"/>
              </w:rPr>
            </w:pPr>
          </w:p>
        </w:tc>
        <w:tc>
          <w:tcPr>
            <w:tcW w:w="390" w:type="pct"/>
            <w:tcBorders>
              <w:top w:val="single" w:color="000000" w:sz="4" w:space="0"/>
              <w:left w:val="single" w:color="000000" w:sz="4" w:space="0"/>
              <w:bottom w:val="nil"/>
              <w:right w:val="single" w:color="000000" w:sz="4" w:space="0"/>
            </w:tcBorders>
            <w:shd w:val="clear" w:color="auto" w:fill="auto"/>
            <w:vAlign w:val="center"/>
          </w:tcPr>
          <w:p w14:paraId="0F92FF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2023年12月31日前</w:t>
            </w:r>
          </w:p>
        </w:tc>
        <w:tc>
          <w:tcPr>
            <w:tcW w:w="390" w:type="pct"/>
            <w:tcBorders>
              <w:top w:val="single" w:color="000000" w:sz="4" w:space="0"/>
              <w:left w:val="single" w:color="000000" w:sz="4" w:space="0"/>
              <w:bottom w:val="nil"/>
              <w:right w:val="single" w:color="000000" w:sz="4" w:space="0"/>
            </w:tcBorders>
            <w:shd w:val="clear" w:color="auto" w:fill="auto"/>
            <w:vAlign w:val="center"/>
          </w:tcPr>
          <w:p w14:paraId="62DEF9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2023年12月4日</w:t>
            </w:r>
          </w:p>
        </w:tc>
        <w:tc>
          <w:tcPr>
            <w:tcW w:w="349" w:type="pct"/>
            <w:tcBorders>
              <w:top w:val="single" w:color="000000" w:sz="4" w:space="0"/>
              <w:left w:val="single" w:color="000000" w:sz="4" w:space="0"/>
              <w:bottom w:val="nil"/>
              <w:right w:val="single" w:color="000000" w:sz="4" w:space="0"/>
            </w:tcBorders>
            <w:shd w:val="clear" w:color="auto" w:fill="auto"/>
            <w:vAlign w:val="center"/>
          </w:tcPr>
          <w:p w14:paraId="7B2347E7">
            <w:pPr>
              <w:jc w:val="center"/>
              <w:rPr>
                <w:rFonts w:hint="eastAsia" w:ascii="宋体" w:hAnsi="宋体" w:eastAsia="宋体" w:cs="宋体"/>
                <w:i w:val="0"/>
                <w:iCs w:val="0"/>
                <w:color w:val="000000"/>
                <w:sz w:val="18"/>
                <w:szCs w:val="18"/>
                <w:u w:val="none"/>
              </w:rPr>
            </w:pPr>
          </w:p>
        </w:tc>
        <w:tc>
          <w:tcPr>
            <w:tcW w:w="536" w:type="pct"/>
            <w:tcBorders>
              <w:top w:val="single" w:color="000000" w:sz="4" w:space="0"/>
              <w:left w:val="single" w:color="000000" w:sz="4" w:space="0"/>
              <w:bottom w:val="nil"/>
              <w:right w:val="single" w:color="000000" w:sz="4" w:space="0"/>
            </w:tcBorders>
            <w:shd w:val="clear" w:color="auto" w:fill="auto"/>
            <w:vAlign w:val="center"/>
          </w:tcPr>
          <w:p w14:paraId="551738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56" w:type="pct"/>
            <w:tcBorders>
              <w:top w:val="single" w:color="000000" w:sz="4" w:space="0"/>
              <w:left w:val="single" w:color="000000" w:sz="4" w:space="0"/>
              <w:bottom w:val="nil"/>
              <w:right w:val="single" w:color="000000" w:sz="4" w:space="0"/>
            </w:tcBorders>
            <w:shd w:val="clear" w:color="auto" w:fill="auto"/>
            <w:vAlign w:val="center"/>
          </w:tcPr>
          <w:p w14:paraId="73DE1B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84" w:type="pct"/>
            <w:tcBorders>
              <w:top w:val="single" w:color="000000" w:sz="4" w:space="0"/>
              <w:left w:val="single" w:color="000000" w:sz="4" w:space="0"/>
              <w:bottom w:val="nil"/>
              <w:right w:val="single" w:color="000000" w:sz="4" w:space="0"/>
            </w:tcBorders>
            <w:shd w:val="clear" w:color="auto" w:fill="auto"/>
            <w:vAlign w:val="center"/>
          </w:tcPr>
          <w:p w14:paraId="1292B68E">
            <w:pPr>
              <w:jc w:val="center"/>
              <w:rPr>
                <w:rFonts w:hint="eastAsia" w:ascii="宋体" w:hAnsi="宋体" w:eastAsia="宋体" w:cs="宋体"/>
                <w:i w:val="0"/>
                <w:iCs w:val="0"/>
                <w:color w:val="000000"/>
                <w:sz w:val="18"/>
                <w:szCs w:val="18"/>
                <w:u w:val="none"/>
              </w:rPr>
            </w:pPr>
          </w:p>
        </w:tc>
      </w:tr>
      <w:tr w14:paraId="1E3D8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61" w:type="pct"/>
            <w:vMerge w:val="continue"/>
            <w:tcBorders>
              <w:top w:val="single" w:color="000000" w:sz="4" w:space="0"/>
              <w:left w:val="single" w:color="000000" w:sz="4" w:space="0"/>
              <w:bottom w:val="nil"/>
              <w:right w:val="single" w:color="000000" w:sz="4" w:space="0"/>
            </w:tcBorders>
            <w:shd w:val="clear" w:color="auto" w:fill="auto"/>
            <w:vAlign w:val="center"/>
          </w:tcPr>
          <w:p w14:paraId="1DE4C5FB">
            <w:pPr>
              <w:jc w:val="center"/>
              <w:rPr>
                <w:rFonts w:hint="eastAsia" w:ascii="宋体" w:hAnsi="宋体" w:eastAsia="宋体" w:cs="宋体"/>
                <w:i w:val="0"/>
                <w:iCs w:val="0"/>
                <w:color w:val="000000"/>
                <w:sz w:val="18"/>
                <w:szCs w:val="18"/>
                <w:u w:val="none"/>
              </w:rPr>
            </w:pPr>
          </w:p>
        </w:tc>
        <w:tc>
          <w:tcPr>
            <w:tcW w:w="362" w:type="pct"/>
            <w:vMerge w:val="continue"/>
            <w:tcBorders>
              <w:top w:val="single" w:color="000000" w:sz="4" w:space="0"/>
              <w:left w:val="single" w:color="000000" w:sz="4" w:space="0"/>
              <w:bottom w:val="nil"/>
              <w:right w:val="single" w:color="000000" w:sz="4" w:space="0"/>
            </w:tcBorders>
            <w:shd w:val="clear" w:color="auto" w:fill="auto"/>
            <w:vAlign w:val="center"/>
          </w:tcPr>
          <w:p w14:paraId="5B60631C">
            <w:pPr>
              <w:jc w:val="center"/>
              <w:rPr>
                <w:rFonts w:hint="eastAsia" w:ascii="宋体" w:hAnsi="宋体" w:eastAsia="宋体" w:cs="宋体"/>
                <w:i w:val="0"/>
                <w:iCs w:val="0"/>
                <w:color w:val="000000"/>
                <w:sz w:val="18"/>
                <w:szCs w:val="18"/>
                <w:u w:val="none"/>
              </w:rPr>
            </w:pPr>
          </w:p>
        </w:tc>
        <w:tc>
          <w:tcPr>
            <w:tcW w:w="361" w:type="pct"/>
            <w:vMerge w:val="restart"/>
            <w:tcBorders>
              <w:top w:val="single" w:color="000000" w:sz="4" w:space="0"/>
              <w:left w:val="single" w:color="000000" w:sz="4" w:space="0"/>
              <w:bottom w:val="nil"/>
              <w:right w:val="single" w:color="000000" w:sz="4" w:space="0"/>
            </w:tcBorders>
            <w:shd w:val="clear" w:color="auto" w:fill="auto"/>
            <w:vAlign w:val="center"/>
          </w:tcPr>
          <w:p w14:paraId="31AE1A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443" w:type="pct"/>
            <w:tcBorders>
              <w:top w:val="single" w:color="000000" w:sz="4" w:space="0"/>
              <w:left w:val="single" w:color="000000" w:sz="4" w:space="0"/>
              <w:bottom w:val="nil"/>
              <w:right w:val="single" w:color="000000" w:sz="4" w:space="0"/>
            </w:tcBorders>
            <w:shd w:val="clear" w:color="auto" w:fill="auto"/>
            <w:vAlign w:val="center"/>
          </w:tcPr>
          <w:p w14:paraId="29435B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缴纳托管企业职工社会保障缴费成本</w:t>
            </w:r>
          </w:p>
        </w:tc>
        <w:tc>
          <w:tcPr>
            <w:tcW w:w="329" w:type="pct"/>
            <w:tcBorders>
              <w:top w:val="single" w:color="000000" w:sz="4" w:space="0"/>
              <w:left w:val="single" w:color="000000" w:sz="4" w:space="0"/>
              <w:bottom w:val="nil"/>
              <w:right w:val="single" w:color="000000" w:sz="4" w:space="0"/>
            </w:tcBorders>
            <w:shd w:val="clear" w:color="auto" w:fill="auto"/>
            <w:vAlign w:val="center"/>
          </w:tcPr>
          <w:p w14:paraId="6C85C7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32" w:type="pct"/>
            <w:tcBorders>
              <w:top w:val="single" w:color="000000" w:sz="4" w:space="0"/>
              <w:left w:val="single" w:color="000000" w:sz="4" w:space="0"/>
              <w:bottom w:val="nil"/>
              <w:right w:val="single" w:color="000000" w:sz="4" w:space="0"/>
            </w:tcBorders>
            <w:shd w:val="clear" w:color="auto" w:fill="auto"/>
            <w:vAlign w:val="center"/>
          </w:tcPr>
          <w:p w14:paraId="5821C1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90" w:type="pct"/>
            <w:tcBorders>
              <w:top w:val="single" w:color="000000" w:sz="4" w:space="0"/>
              <w:left w:val="single" w:color="000000" w:sz="4" w:space="0"/>
              <w:bottom w:val="nil"/>
              <w:right w:val="single" w:color="000000" w:sz="4" w:space="0"/>
            </w:tcBorders>
            <w:shd w:val="clear" w:color="auto" w:fill="auto"/>
            <w:vAlign w:val="center"/>
          </w:tcPr>
          <w:p w14:paraId="42303C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267.6</w:t>
            </w:r>
          </w:p>
        </w:tc>
        <w:tc>
          <w:tcPr>
            <w:tcW w:w="390" w:type="pct"/>
            <w:tcBorders>
              <w:top w:val="single" w:color="000000" w:sz="4" w:space="0"/>
              <w:left w:val="single" w:color="000000" w:sz="4" w:space="0"/>
              <w:bottom w:val="nil"/>
              <w:right w:val="single" w:color="000000" w:sz="4" w:space="0"/>
            </w:tcBorders>
            <w:shd w:val="clear" w:color="auto" w:fill="auto"/>
            <w:vAlign w:val="center"/>
          </w:tcPr>
          <w:p w14:paraId="31D350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267.6</w:t>
            </w:r>
          </w:p>
        </w:tc>
        <w:tc>
          <w:tcPr>
            <w:tcW w:w="349" w:type="pct"/>
            <w:tcBorders>
              <w:top w:val="single" w:color="000000" w:sz="4" w:space="0"/>
              <w:left w:val="single" w:color="000000" w:sz="4" w:space="0"/>
              <w:bottom w:val="nil"/>
              <w:right w:val="single" w:color="000000" w:sz="4" w:space="0"/>
            </w:tcBorders>
            <w:shd w:val="clear" w:color="auto" w:fill="auto"/>
            <w:vAlign w:val="center"/>
          </w:tcPr>
          <w:p w14:paraId="085F74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5771D0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6" w:type="pct"/>
            <w:tcBorders>
              <w:top w:val="single" w:color="000000" w:sz="4" w:space="0"/>
              <w:left w:val="single" w:color="000000" w:sz="4" w:space="0"/>
              <w:bottom w:val="nil"/>
              <w:right w:val="single" w:color="000000" w:sz="4" w:space="0"/>
            </w:tcBorders>
            <w:shd w:val="clear" w:color="auto" w:fill="auto"/>
            <w:vAlign w:val="center"/>
          </w:tcPr>
          <w:p w14:paraId="10AE6E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84" w:type="pct"/>
            <w:tcBorders>
              <w:top w:val="single" w:color="000000" w:sz="4" w:space="0"/>
              <w:left w:val="single" w:color="000000" w:sz="4" w:space="0"/>
              <w:bottom w:val="nil"/>
              <w:right w:val="single" w:color="000000" w:sz="4" w:space="0"/>
            </w:tcBorders>
            <w:shd w:val="clear" w:color="auto" w:fill="auto"/>
            <w:vAlign w:val="center"/>
          </w:tcPr>
          <w:p w14:paraId="500CE3C2">
            <w:pPr>
              <w:jc w:val="center"/>
              <w:rPr>
                <w:rFonts w:hint="eastAsia" w:ascii="宋体" w:hAnsi="宋体" w:eastAsia="宋体" w:cs="宋体"/>
                <w:i w:val="0"/>
                <w:iCs w:val="0"/>
                <w:color w:val="000000"/>
                <w:sz w:val="18"/>
                <w:szCs w:val="18"/>
                <w:u w:val="none"/>
              </w:rPr>
            </w:pPr>
          </w:p>
        </w:tc>
      </w:tr>
      <w:tr w14:paraId="46D10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61" w:type="pct"/>
            <w:vMerge w:val="continue"/>
            <w:tcBorders>
              <w:top w:val="single" w:color="000000" w:sz="4" w:space="0"/>
              <w:left w:val="single" w:color="000000" w:sz="4" w:space="0"/>
              <w:bottom w:val="nil"/>
              <w:right w:val="single" w:color="000000" w:sz="4" w:space="0"/>
            </w:tcBorders>
            <w:shd w:val="clear" w:color="auto" w:fill="auto"/>
            <w:vAlign w:val="center"/>
          </w:tcPr>
          <w:p w14:paraId="3D19D54E">
            <w:pPr>
              <w:jc w:val="center"/>
              <w:rPr>
                <w:rFonts w:hint="eastAsia" w:ascii="宋体" w:hAnsi="宋体" w:eastAsia="宋体" w:cs="宋体"/>
                <w:i w:val="0"/>
                <w:iCs w:val="0"/>
                <w:color w:val="000000"/>
                <w:sz w:val="18"/>
                <w:szCs w:val="18"/>
                <w:u w:val="none"/>
              </w:rPr>
            </w:pPr>
          </w:p>
        </w:tc>
        <w:tc>
          <w:tcPr>
            <w:tcW w:w="362" w:type="pct"/>
            <w:vMerge w:val="continue"/>
            <w:tcBorders>
              <w:top w:val="single" w:color="000000" w:sz="4" w:space="0"/>
              <w:left w:val="single" w:color="000000" w:sz="4" w:space="0"/>
              <w:bottom w:val="nil"/>
              <w:right w:val="single" w:color="000000" w:sz="4" w:space="0"/>
            </w:tcBorders>
            <w:shd w:val="clear" w:color="auto" w:fill="auto"/>
            <w:vAlign w:val="center"/>
          </w:tcPr>
          <w:p w14:paraId="13F9FF82">
            <w:pPr>
              <w:jc w:val="center"/>
              <w:rPr>
                <w:rFonts w:hint="eastAsia" w:ascii="宋体" w:hAnsi="宋体" w:eastAsia="宋体" w:cs="宋体"/>
                <w:i w:val="0"/>
                <w:iCs w:val="0"/>
                <w:color w:val="000000"/>
                <w:sz w:val="18"/>
                <w:szCs w:val="18"/>
                <w:u w:val="none"/>
              </w:rPr>
            </w:pPr>
          </w:p>
        </w:tc>
        <w:tc>
          <w:tcPr>
            <w:tcW w:w="361" w:type="pct"/>
            <w:vMerge w:val="continue"/>
            <w:tcBorders>
              <w:top w:val="single" w:color="000000" w:sz="4" w:space="0"/>
              <w:left w:val="single" w:color="000000" w:sz="4" w:space="0"/>
              <w:bottom w:val="nil"/>
              <w:right w:val="single" w:color="000000" w:sz="4" w:space="0"/>
            </w:tcBorders>
            <w:shd w:val="clear" w:color="auto" w:fill="auto"/>
            <w:vAlign w:val="center"/>
          </w:tcPr>
          <w:p w14:paraId="3C87F070">
            <w:pPr>
              <w:jc w:val="center"/>
              <w:rPr>
                <w:rFonts w:hint="eastAsia" w:ascii="宋体" w:hAnsi="宋体" w:eastAsia="宋体" w:cs="宋体"/>
                <w:i w:val="0"/>
                <w:iCs w:val="0"/>
                <w:color w:val="000000"/>
                <w:sz w:val="18"/>
                <w:szCs w:val="18"/>
                <w:u w:val="none"/>
              </w:rPr>
            </w:pPr>
          </w:p>
        </w:tc>
        <w:tc>
          <w:tcPr>
            <w:tcW w:w="443" w:type="pct"/>
            <w:tcBorders>
              <w:top w:val="single" w:color="000000" w:sz="4" w:space="0"/>
              <w:left w:val="single" w:color="000000" w:sz="4" w:space="0"/>
              <w:bottom w:val="nil"/>
              <w:right w:val="single" w:color="000000" w:sz="4" w:space="0"/>
            </w:tcBorders>
            <w:shd w:val="clear" w:color="auto" w:fill="auto"/>
            <w:vAlign w:val="center"/>
          </w:tcPr>
          <w:p w14:paraId="0714C7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缴纳退休职工医疗安置费成本</w:t>
            </w:r>
          </w:p>
        </w:tc>
        <w:tc>
          <w:tcPr>
            <w:tcW w:w="329" w:type="pct"/>
            <w:tcBorders>
              <w:top w:val="single" w:color="000000" w:sz="4" w:space="0"/>
              <w:left w:val="single" w:color="000000" w:sz="4" w:space="0"/>
              <w:bottom w:val="nil"/>
              <w:right w:val="single" w:color="000000" w:sz="4" w:space="0"/>
            </w:tcBorders>
            <w:shd w:val="clear" w:color="auto" w:fill="auto"/>
            <w:vAlign w:val="center"/>
          </w:tcPr>
          <w:p w14:paraId="2517DB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32" w:type="pct"/>
            <w:tcBorders>
              <w:top w:val="single" w:color="000000" w:sz="4" w:space="0"/>
              <w:left w:val="single" w:color="000000" w:sz="4" w:space="0"/>
              <w:bottom w:val="nil"/>
              <w:right w:val="single" w:color="000000" w:sz="4" w:space="0"/>
            </w:tcBorders>
            <w:shd w:val="clear" w:color="auto" w:fill="auto"/>
            <w:vAlign w:val="center"/>
          </w:tcPr>
          <w:p w14:paraId="5ECE96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90" w:type="pct"/>
            <w:tcBorders>
              <w:top w:val="single" w:color="000000" w:sz="4" w:space="0"/>
              <w:left w:val="single" w:color="000000" w:sz="4" w:space="0"/>
              <w:bottom w:val="nil"/>
              <w:right w:val="single" w:color="000000" w:sz="4" w:space="0"/>
            </w:tcBorders>
            <w:shd w:val="clear" w:color="auto" w:fill="auto"/>
            <w:vAlign w:val="center"/>
          </w:tcPr>
          <w:p w14:paraId="06CC9F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142.5</w:t>
            </w:r>
          </w:p>
        </w:tc>
        <w:tc>
          <w:tcPr>
            <w:tcW w:w="390" w:type="pct"/>
            <w:tcBorders>
              <w:top w:val="single" w:color="000000" w:sz="4" w:space="0"/>
              <w:left w:val="single" w:color="000000" w:sz="4" w:space="0"/>
              <w:bottom w:val="nil"/>
              <w:right w:val="single" w:color="000000" w:sz="4" w:space="0"/>
            </w:tcBorders>
            <w:shd w:val="clear" w:color="auto" w:fill="auto"/>
            <w:vAlign w:val="center"/>
          </w:tcPr>
          <w:p w14:paraId="4EA2B5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142.5</w:t>
            </w:r>
          </w:p>
        </w:tc>
        <w:tc>
          <w:tcPr>
            <w:tcW w:w="349" w:type="pct"/>
            <w:tcBorders>
              <w:top w:val="single" w:color="000000" w:sz="4" w:space="0"/>
              <w:left w:val="single" w:color="000000" w:sz="4" w:space="0"/>
              <w:bottom w:val="nil"/>
              <w:right w:val="single" w:color="000000" w:sz="4" w:space="0"/>
            </w:tcBorders>
            <w:shd w:val="clear" w:color="auto" w:fill="auto"/>
            <w:vAlign w:val="center"/>
          </w:tcPr>
          <w:p w14:paraId="06B9F0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225083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56" w:type="pct"/>
            <w:tcBorders>
              <w:top w:val="single" w:color="000000" w:sz="4" w:space="0"/>
              <w:left w:val="single" w:color="000000" w:sz="4" w:space="0"/>
              <w:bottom w:val="nil"/>
              <w:right w:val="single" w:color="000000" w:sz="4" w:space="0"/>
            </w:tcBorders>
            <w:shd w:val="clear" w:color="auto" w:fill="auto"/>
            <w:vAlign w:val="center"/>
          </w:tcPr>
          <w:p w14:paraId="3E6CF2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84" w:type="pct"/>
            <w:tcBorders>
              <w:top w:val="single" w:color="000000" w:sz="4" w:space="0"/>
              <w:left w:val="single" w:color="000000" w:sz="4" w:space="0"/>
              <w:bottom w:val="nil"/>
              <w:right w:val="single" w:color="000000" w:sz="4" w:space="0"/>
            </w:tcBorders>
            <w:shd w:val="clear" w:color="auto" w:fill="auto"/>
            <w:vAlign w:val="center"/>
          </w:tcPr>
          <w:p w14:paraId="083CED72">
            <w:pPr>
              <w:jc w:val="center"/>
              <w:rPr>
                <w:rFonts w:hint="eastAsia" w:ascii="宋体" w:hAnsi="宋体" w:eastAsia="宋体" w:cs="宋体"/>
                <w:i w:val="0"/>
                <w:iCs w:val="0"/>
                <w:color w:val="000000"/>
                <w:sz w:val="18"/>
                <w:szCs w:val="18"/>
                <w:u w:val="none"/>
              </w:rPr>
            </w:pPr>
          </w:p>
        </w:tc>
      </w:tr>
      <w:tr w14:paraId="64C1BA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61" w:type="pct"/>
            <w:vMerge w:val="continue"/>
            <w:tcBorders>
              <w:top w:val="single" w:color="000000" w:sz="4" w:space="0"/>
              <w:left w:val="single" w:color="000000" w:sz="4" w:space="0"/>
              <w:bottom w:val="nil"/>
              <w:right w:val="single" w:color="000000" w:sz="4" w:space="0"/>
            </w:tcBorders>
            <w:shd w:val="clear" w:color="auto" w:fill="auto"/>
            <w:vAlign w:val="center"/>
          </w:tcPr>
          <w:p w14:paraId="46B4EBEF">
            <w:pPr>
              <w:jc w:val="center"/>
              <w:rPr>
                <w:rFonts w:hint="eastAsia" w:ascii="宋体" w:hAnsi="宋体" w:eastAsia="宋体" w:cs="宋体"/>
                <w:i w:val="0"/>
                <w:iCs w:val="0"/>
                <w:color w:val="000000"/>
                <w:sz w:val="18"/>
                <w:szCs w:val="18"/>
                <w:u w:val="none"/>
              </w:rPr>
            </w:pPr>
          </w:p>
        </w:tc>
        <w:tc>
          <w:tcPr>
            <w:tcW w:w="362" w:type="pct"/>
            <w:vMerge w:val="continue"/>
            <w:tcBorders>
              <w:top w:val="single" w:color="000000" w:sz="4" w:space="0"/>
              <w:left w:val="single" w:color="000000" w:sz="4" w:space="0"/>
              <w:bottom w:val="nil"/>
              <w:right w:val="single" w:color="000000" w:sz="4" w:space="0"/>
            </w:tcBorders>
            <w:shd w:val="clear" w:color="auto" w:fill="auto"/>
            <w:vAlign w:val="center"/>
          </w:tcPr>
          <w:p w14:paraId="50E25E40">
            <w:pPr>
              <w:jc w:val="center"/>
              <w:rPr>
                <w:rFonts w:hint="eastAsia" w:ascii="宋体" w:hAnsi="宋体" w:eastAsia="宋体" w:cs="宋体"/>
                <w:i w:val="0"/>
                <w:iCs w:val="0"/>
                <w:color w:val="000000"/>
                <w:sz w:val="18"/>
                <w:szCs w:val="18"/>
                <w:u w:val="none"/>
              </w:rPr>
            </w:pPr>
          </w:p>
        </w:tc>
        <w:tc>
          <w:tcPr>
            <w:tcW w:w="361" w:type="pct"/>
            <w:vMerge w:val="continue"/>
            <w:tcBorders>
              <w:top w:val="single" w:color="000000" w:sz="4" w:space="0"/>
              <w:left w:val="single" w:color="000000" w:sz="4" w:space="0"/>
              <w:bottom w:val="nil"/>
              <w:right w:val="single" w:color="000000" w:sz="4" w:space="0"/>
            </w:tcBorders>
            <w:shd w:val="clear" w:color="auto" w:fill="auto"/>
            <w:vAlign w:val="center"/>
          </w:tcPr>
          <w:p w14:paraId="35682488">
            <w:pPr>
              <w:jc w:val="center"/>
              <w:rPr>
                <w:rFonts w:hint="eastAsia" w:ascii="宋体" w:hAnsi="宋体" w:eastAsia="宋体" w:cs="宋体"/>
                <w:i w:val="0"/>
                <w:iCs w:val="0"/>
                <w:color w:val="000000"/>
                <w:sz w:val="18"/>
                <w:szCs w:val="18"/>
                <w:u w:val="none"/>
              </w:rPr>
            </w:pPr>
          </w:p>
        </w:tc>
        <w:tc>
          <w:tcPr>
            <w:tcW w:w="443" w:type="pct"/>
            <w:tcBorders>
              <w:top w:val="single" w:color="000000" w:sz="4" w:space="0"/>
              <w:left w:val="single" w:color="000000" w:sz="4" w:space="0"/>
              <w:bottom w:val="nil"/>
              <w:right w:val="single" w:color="000000" w:sz="4" w:space="0"/>
            </w:tcBorders>
            <w:shd w:val="clear" w:color="auto" w:fill="auto"/>
            <w:vAlign w:val="center"/>
          </w:tcPr>
          <w:p w14:paraId="184F31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项目总成本</w:t>
            </w:r>
          </w:p>
        </w:tc>
        <w:tc>
          <w:tcPr>
            <w:tcW w:w="329" w:type="pct"/>
            <w:tcBorders>
              <w:top w:val="single" w:color="000000" w:sz="4" w:space="0"/>
              <w:left w:val="single" w:color="000000" w:sz="4" w:space="0"/>
              <w:bottom w:val="nil"/>
              <w:right w:val="single" w:color="000000" w:sz="4" w:space="0"/>
            </w:tcBorders>
            <w:shd w:val="clear" w:color="auto" w:fill="auto"/>
            <w:vAlign w:val="center"/>
          </w:tcPr>
          <w:p w14:paraId="67FDCE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332" w:type="pct"/>
            <w:tcBorders>
              <w:top w:val="single" w:color="000000" w:sz="4" w:space="0"/>
              <w:left w:val="single" w:color="000000" w:sz="4" w:space="0"/>
              <w:bottom w:val="nil"/>
              <w:right w:val="single" w:color="000000" w:sz="4" w:space="0"/>
            </w:tcBorders>
            <w:shd w:val="clear" w:color="auto" w:fill="auto"/>
            <w:vAlign w:val="center"/>
          </w:tcPr>
          <w:p w14:paraId="4EC54D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390" w:type="pct"/>
            <w:tcBorders>
              <w:top w:val="single" w:color="000000" w:sz="4" w:space="0"/>
              <w:left w:val="single" w:color="000000" w:sz="4" w:space="0"/>
              <w:bottom w:val="nil"/>
              <w:right w:val="single" w:color="000000" w:sz="4" w:space="0"/>
            </w:tcBorders>
            <w:shd w:val="clear" w:color="auto" w:fill="auto"/>
            <w:vAlign w:val="center"/>
          </w:tcPr>
          <w:p w14:paraId="7AE0D4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410.1</w:t>
            </w:r>
          </w:p>
        </w:tc>
        <w:tc>
          <w:tcPr>
            <w:tcW w:w="390" w:type="pct"/>
            <w:tcBorders>
              <w:top w:val="single" w:color="000000" w:sz="4" w:space="0"/>
              <w:left w:val="single" w:color="000000" w:sz="4" w:space="0"/>
              <w:bottom w:val="nil"/>
              <w:right w:val="single" w:color="000000" w:sz="4" w:space="0"/>
            </w:tcBorders>
            <w:shd w:val="clear" w:color="auto" w:fill="auto"/>
            <w:vAlign w:val="center"/>
          </w:tcPr>
          <w:p w14:paraId="736E65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410.1</w:t>
            </w:r>
          </w:p>
        </w:tc>
        <w:tc>
          <w:tcPr>
            <w:tcW w:w="349" w:type="pct"/>
            <w:tcBorders>
              <w:top w:val="single" w:color="000000" w:sz="4" w:space="0"/>
              <w:left w:val="single" w:color="000000" w:sz="4" w:space="0"/>
              <w:bottom w:val="nil"/>
              <w:right w:val="single" w:color="000000" w:sz="4" w:space="0"/>
            </w:tcBorders>
            <w:shd w:val="clear" w:color="auto" w:fill="auto"/>
            <w:vAlign w:val="center"/>
          </w:tcPr>
          <w:p w14:paraId="627D8C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5FF788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56" w:type="pct"/>
            <w:tcBorders>
              <w:top w:val="single" w:color="000000" w:sz="4" w:space="0"/>
              <w:left w:val="single" w:color="000000" w:sz="4" w:space="0"/>
              <w:bottom w:val="nil"/>
              <w:right w:val="single" w:color="000000" w:sz="4" w:space="0"/>
            </w:tcBorders>
            <w:shd w:val="clear" w:color="auto" w:fill="auto"/>
            <w:vAlign w:val="center"/>
          </w:tcPr>
          <w:p w14:paraId="5D96D6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84" w:type="pct"/>
            <w:tcBorders>
              <w:top w:val="single" w:color="000000" w:sz="4" w:space="0"/>
              <w:left w:val="single" w:color="000000" w:sz="4" w:space="0"/>
              <w:bottom w:val="nil"/>
              <w:right w:val="single" w:color="000000" w:sz="4" w:space="0"/>
            </w:tcBorders>
            <w:shd w:val="clear" w:color="auto" w:fill="auto"/>
            <w:vAlign w:val="center"/>
          </w:tcPr>
          <w:p w14:paraId="56822218">
            <w:pPr>
              <w:jc w:val="center"/>
              <w:rPr>
                <w:rFonts w:hint="eastAsia" w:ascii="宋体" w:hAnsi="宋体" w:eastAsia="宋体" w:cs="宋体"/>
                <w:i w:val="0"/>
                <w:iCs w:val="0"/>
                <w:color w:val="000000"/>
                <w:sz w:val="18"/>
                <w:szCs w:val="18"/>
                <w:u w:val="none"/>
              </w:rPr>
            </w:pPr>
          </w:p>
        </w:tc>
      </w:tr>
      <w:tr w14:paraId="43052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61" w:type="pct"/>
            <w:vMerge w:val="continue"/>
            <w:tcBorders>
              <w:top w:val="single" w:color="000000" w:sz="4" w:space="0"/>
              <w:left w:val="single" w:color="000000" w:sz="4" w:space="0"/>
              <w:bottom w:val="nil"/>
              <w:right w:val="single" w:color="000000" w:sz="4" w:space="0"/>
            </w:tcBorders>
            <w:shd w:val="clear" w:color="auto" w:fill="auto"/>
            <w:vAlign w:val="center"/>
          </w:tcPr>
          <w:p w14:paraId="475708DB">
            <w:pPr>
              <w:jc w:val="center"/>
              <w:rPr>
                <w:rFonts w:hint="eastAsia" w:ascii="宋体" w:hAnsi="宋体" w:eastAsia="宋体" w:cs="宋体"/>
                <w:i w:val="0"/>
                <w:iCs w:val="0"/>
                <w:color w:val="000000"/>
                <w:sz w:val="18"/>
                <w:szCs w:val="18"/>
                <w:u w:val="none"/>
              </w:rPr>
            </w:pPr>
          </w:p>
        </w:tc>
        <w:tc>
          <w:tcPr>
            <w:tcW w:w="362" w:type="pct"/>
            <w:vMerge w:val="restart"/>
            <w:tcBorders>
              <w:top w:val="single" w:color="000000" w:sz="4" w:space="0"/>
              <w:left w:val="single" w:color="000000" w:sz="4" w:space="0"/>
              <w:bottom w:val="nil"/>
              <w:right w:val="single" w:color="000000" w:sz="4" w:space="0"/>
            </w:tcBorders>
            <w:shd w:val="clear" w:color="auto" w:fill="auto"/>
            <w:vAlign w:val="center"/>
          </w:tcPr>
          <w:p w14:paraId="51B452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361" w:type="pct"/>
            <w:tcBorders>
              <w:top w:val="single" w:color="000000" w:sz="4" w:space="0"/>
              <w:left w:val="single" w:color="000000" w:sz="4" w:space="0"/>
              <w:bottom w:val="nil"/>
              <w:right w:val="single" w:color="000000" w:sz="4" w:space="0"/>
            </w:tcBorders>
            <w:shd w:val="clear" w:color="auto" w:fill="auto"/>
            <w:vAlign w:val="center"/>
          </w:tcPr>
          <w:p w14:paraId="15F1F1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443" w:type="pct"/>
            <w:tcBorders>
              <w:top w:val="single" w:color="000000" w:sz="4" w:space="0"/>
              <w:left w:val="single" w:color="000000" w:sz="4" w:space="0"/>
              <w:bottom w:val="nil"/>
              <w:right w:val="single" w:color="000000" w:sz="4" w:space="0"/>
            </w:tcBorders>
            <w:shd w:val="clear" w:color="auto" w:fill="auto"/>
            <w:vAlign w:val="center"/>
          </w:tcPr>
          <w:p w14:paraId="26A75D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解决好转制安置企业残疾职工及困难职工后顾之忧</w:t>
            </w:r>
          </w:p>
        </w:tc>
        <w:tc>
          <w:tcPr>
            <w:tcW w:w="329" w:type="pct"/>
            <w:tcBorders>
              <w:top w:val="single" w:color="000000" w:sz="4" w:space="0"/>
              <w:left w:val="single" w:color="000000" w:sz="4" w:space="0"/>
              <w:bottom w:val="nil"/>
              <w:right w:val="single" w:color="000000" w:sz="4" w:space="0"/>
            </w:tcBorders>
            <w:shd w:val="clear" w:color="auto" w:fill="auto"/>
            <w:vAlign w:val="center"/>
          </w:tcPr>
          <w:p w14:paraId="5B4987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32" w:type="pct"/>
            <w:tcBorders>
              <w:top w:val="single" w:color="000000" w:sz="4" w:space="0"/>
              <w:left w:val="single" w:color="000000" w:sz="4" w:space="0"/>
              <w:bottom w:val="nil"/>
              <w:right w:val="single" w:color="000000" w:sz="4" w:space="0"/>
            </w:tcBorders>
            <w:shd w:val="clear" w:color="auto" w:fill="auto"/>
            <w:vAlign w:val="center"/>
          </w:tcPr>
          <w:p w14:paraId="6E3F03DC">
            <w:pPr>
              <w:jc w:val="center"/>
              <w:rPr>
                <w:rFonts w:hint="eastAsia" w:ascii="宋体" w:hAnsi="宋体" w:eastAsia="宋体" w:cs="宋体"/>
                <w:i w:val="0"/>
                <w:iCs w:val="0"/>
                <w:color w:val="000000"/>
                <w:sz w:val="18"/>
                <w:szCs w:val="18"/>
                <w:u w:val="none"/>
              </w:rPr>
            </w:pPr>
          </w:p>
        </w:tc>
        <w:tc>
          <w:tcPr>
            <w:tcW w:w="390" w:type="pct"/>
            <w:tcBorders>
              <w:top w:val="single" w:color="000000" w:sz="4" w:space="0"/>
              <w:left w:val="single" w:color="000000" w:sz="4" w:space="0"/>
              <w:bottom w:val="nil"/>
              <w:right w:val="single" w:color="000000" w:sz="4" w:space="0"/>
            </w:tcBorders>
            <w:shd w:val="clear" w:color="auto" w:fill="auto"/>
            <w:vAlign w:val="center"/>
          </w:tcPr>
          <w:p w14:paraId="3E4FDD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90" w:type="pct"/>
            <w:tcBorders>
              <w:top w:val="single" w:color="000000" w:sz="4" w:space="0"/>
              <w:left w:val="single" w:color="000000" w:sz="4" w:space="0"/>
              <w:bottom w:val="nil"/>
              <w:right w:val="single" w:color="000000" w:sz="4" w:space="0"/>
            </w:tcBorders>
            <w:shd w:val="clear" w:color="auto" w:fill="auto"/>
            <w:vAlign w:val="center"/>
          </w:tcPr>
          <w:p w14:paraId="1F9E87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49" w:type="pct"/>
            <w:tcBorders>
              <w:top w:val="single" w:color="000000" w:sz="4" w:space="0"/>
              <w:left w:val="single" w:color="000000" w:sz="4" w:space="0"/>
              <w:bottom w:val="nil"/>
              <w:right w:val="single" w:color="000000" w:sz="4" w:space="0"/>
            </w:tcBorders>
            <w:shd w:val="clear" w:color="auto" w:fill="auto"/>
            <w:vAlign w:val="center"/>
          </w:tcPr>
          <w:p w14:paraId="1025A9CE">
            <w:pPr>
              <w:jc w:val="center"/>
              <w:rPr>
                <w:rFonts w:hint="eastAsia" w:ascii="宋体" w:hAnsi="宋体" w:eastAsia="宋体" w:cs="宋体"/>
                <w:i w:val="0"/>
                <w:iCs w:val="0"/>
                <w:color w:val="000000"/>
                <w:sz w:val="18"/>
                <w:szCs w:val="18"/>
                <w:u w:val="none"/>
              </w:rPr>
            </w:pPr>
          </w:p>
        </w:tc>
        <w:tc>
          <w:tcPr>
            <w:tcW w:w="536" w:type="pct"/>
            <w:tcBorders>
              <w:top w:val="single" w:color="000000" w:sz="4" w:space="0"/>
              <w:left w:val="single" w:color="000000" w:sz="4" w:space="0"/>
              <w:bottom w:val="nil"/>
              <w:right w:val="single" w:color="000000" w:sz="4" w:space="0"/>
            </w:tcBorders>
            <w:shd w:val="clear" w:color="auto" w:fill="auto"/>
            <w:vAlign w:val="center"/>
          </w:tcPr>
          <w:p w14:paraId="3F6E8C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56" w:type="pct"/>
            <w:tcBorders>
              <w:top w:val="single" w:color="000000" w:sz="4" w:space="0"/>
              <w:left w:val="single" w:color="000000" w:sz="4" w:space="0"/>
              <w:bottom w:val="nil"/>
              <w:right w:val="single" w:color="000000" w:sz="4" w:space="0"/>
            </w:tcBorders>
            <w:shd w:val="clear" w:color="auto" w:fill="auto"/>
            <w:vAlign w:val="center"/>
          </w:tcPr>
          <w:p w14:paraId="7E8FA3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84" w:type="pct"/>
            <w:tcBorders>
              <w:top w:val="single" w:color="000000" w:sz="4" w:space="0"/>
              <w:left w:val="single" w:color="000000" w:sz="4" w:space="0"/>
              <w:bottom w:val="nil"/>
              <w:right w:val="single" w:color="000000" w:sz="4" w:space="0"/>
            </w:tcBorders>
            <w:shd w:val="clear" w:color="auto" w:fill="auto"/>
            <w:vAlign w:val="center"/>
          </w:tcPr>
          <w:p w14:paraId="798D3E53">
            <w:pPr>
              <w:jc w:val="center"/>
              <w:rPr>
                <w:rFonts w:hint="eastAsia" w:ascii="宋体" w:hAnsi="宋体" w:eastAsia="宋体" w:cs="宋体"/>
                <w:i w:val="0"/>
                <w:iCs w:val="0"/>
                <w:color w:val="000000"/>
                <w:sz w:val="18"/>
                <w:szCs w:val="18"/>
                <w:u w:val="none"/>
              </w:rPr>
            </w:pPr>
          </w:p>
        </w:tc>
      </w:tr>
      <w:tr w14:paraId="6A6C6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61" w:type="pct"/>
            <w:vMerge w:val="continue"/>
            <w:tcBorders>
              <w:top w:val="single" w:color="000000" w:sz="4" w:space="0"/>
              <w:left w:val="single" w:color="000000" w:sz="4" w:space="0"/>
              <w:bottom w:val="nil"/>
              <w:right w:val="single" w:color="000000" w:sz="4" w:space="0"/>
            </w:tcBorders>
            <w:shd w:val="clear" w:color="auto" w:fill="auto"/>
            <w:vAlign w:val="center"/>
          </w:tcPr>
          <w:p w14:paraId="4E5E60FD">
            <w:pPr>
              <w:jc w:val="center"/>
              <w:rPr>
                <w:rFonts w:hint="eastAsia" w:ascii="宋体" w:hAnsi="宋体" w:eastAsia="宋体" w:cs="宋体"/>
                <w:i w:val="0"/>
                <w:iCs w:val="0"/>
                <w:color w:val="000000"/>
                <w:sz w:val="18"/>
                <w:szCs w:val="18"/>
                <w:u w:val="none"/>
              </w:rPr>
            </w:pPr>
          </w:p>
        </w:tc>
        <w:tc>
          <w:tcPr>
            <w:tcW w:w="362" w:type="pct"/>
            <w:vMerge w:val="continue"/>
            <w:tcBorders>
              <w:top w:val="single" w:color="000000" w:sz="4" w:space="0"/>
              <w:left w:val="single" w:color="000000" w:sz="4" w:space="0"/>
              <w:bottom w:val="nil"/>
              <w:right w:val="single" w:color="000000" w:sz="4" w:space="0"/>
            </w:tcBorders>
            <w:shd w:val="clear" w:color="auto" w:fill="auto"/>
            <w:vAlign w:val="center"/>
          </w:tcPr>
          <w:p w14:paraId="37A1EE85">
            <w:pPr>
              <w:jc w:val="center"/>
              <w:rPr>
                <w:rFonts w:hint="eastAsia" w:ascii="宋体" w:hAnsi="宋体" w:eastAsia="宋体" w:cs="宋体"/>
                <w:i w:val="0"/>
                <w:iCs w:val="0"/>
                <w:color w:val="000000"/>
                <w:sz w:val="18"/>
                <w:szCs w:val="18"/>
                <w:u w:val="none"/>
              </w:rPr>
            </w:pPr>
          </w:p>
        </w:tc>
        <w:tc>
          <w:tcPr>
            <w:tcW w:w="361" w:type="pct"/>
            <w:tcBorders>
              <w:top w:val="single" w:color="000000" w:sz="4" w:space="0"/>
              <w:left w:val="single" w:color="000000" w:sz="4" w:space="0"/>
              <w:bottom w:val="nil"/>
              <w:right w:val="single" w:color="000000" w:sz="4" w:space="0"/>
            </w:tcBorders>
            <w:shd w:val="clear" w:color="auto" w:fill="auto"/>
            <w:vAlign w:val="center"/>
          </w:tcPr>
          <w:p w14:paraId="3ACC73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443" w:type="pct"/>
            <w:tcBorders>
              <w:top w:val="single" w:color="000000" w:sz="4" w:space="0"/>
              <w:left w:val="single" w:color="000000" w:sz="4" w:space="0"/>
              <w:bottom w:val="nil"/>
              <w:right w:val="single" w:color="000000" w:sz="4" w:space="0"/>
            </w:tcBorders>
            <w:shd w:val="clear" w:color="auto" w:fill="auto"/>
            <w:vAlign w:val="center"/>
          </w:tcPr>
          <w:p w14:paraId="5CC75E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促进项目工作有序运行</w:t>
            </w:r>
          </w:p>
        </w:tc>
        <w:tc>
          <w:tcPr>
            <w:tcW w:w="329" w:type="pct"/>
            <w:tcBorders>
              <w:top w:val="single" w:color="000000" w:sz="4" w:space="0"/>
              <w:left w:val="single" w:color="000000" w:sz="4" w:space="0"/>
              <w:bottom w:val="nil"/>
              <w:right w:val="single" w:color="000000" w:sz="4" w:space="0"/>
            </w:tcBorders>
            <w:shd w:val="clear" w:color="auto" w:fill="auto"/>
            <w:vAlign w:val="center"/>
          </w:tcPr>
          <w:p w14:paraId="384C6E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32" w:type="pct"/>
            <w:tcBorders>
              <w:top w:val="single" w:color="000000" w:sz="4" w:space="0"/>
              <w:left w:val="single" w:color="000000" w:sz="4" w:space="0"/>
              <w:bottom w:val="nil"/>
              <w:right w:val="single" w:color="000000" w:sz="4" w:space="0"/>
            </w:tcBorders>
            <w:shd w:val="clear" w:color="auto" w:fill="auto"/>
            <w:vAlign w:val="center"/>
          </w:tcPr>
          <w:p w14:paraId="1069A864">
            <w:pPr>
              <w:jc w:val="center"/>
              <w:rPr>
                <w:rFonts w:hint="eastAsia" w:ascii="宋体" w:hAnsi="宋体" w:eastAsia="宋体" w:cs="宋体"/>
                <w:i w:val="0"/>
                <w:iCs w:val="0"/>
                <w:color w:val="000000"/>
                <w:sz w:val="18"/>
                <w:szCs w:val="18"/>
                <w:u w:val="none"/>
              </w:rPr>
            </w:pPr>
          </w:p>
        </w:tc>
        <w:tc>
          <w:tcPr>
            <w:tcW w:w="390" w:type="pct"/>
            <w:tcBorders>
              <w:top w:val="single" w:color="000000" w:sz="4" w:space="0"/>
              <w:left w:val="single" w:color="000000" w:sz="4" w:space="0"/>
              <w:bottom w:val="nil"/>
              <w:right w:val="single" w:color="000000" w:sz="4" w:space="0"/>
            </w:tcBorders>
            <w:shd w:val="clear" w:color="auto" w:fill="auto"/>
            <w:vAlign w:val="center"/>
          </w:tcPr>
          <w:p w14:paraId="2453A5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90" w:type="pct"/>
            <w:tcBorders>
              <w:top w:val="single" w:color="000000" w:sz="4" w:space="0"/>
              <w:left w:val="single" w:color="000000" w:sz="4" w:space="0"/>
              <w:bottom w:val="nil"/>
              <w:right w:val="single" w:color="000000" w:sz="4" w:space="0"/>
            </w:tcBorders>
            <w:shd w:val="clear" w:color="auto" w:fill="auto"/>
            <w:vAlign w:val="center"/>
          </w:tcPr>
          <w:p w14:paraId="07263D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49" w:type="pct"/>
            <w:tcBorders>
              <w:top w:val="single" w:color="000000" w:sz="4" w:space="0"/>
              <w:left w:val="single" w:color="000000" w:sz="4" w:space="0"/>
              <w:bottom w:val="nil"/>
              <w:right w:val="single" w:color="000000" w:sz="4" w:space="0"/>
            </w:tcBorders>
            <w:shd w:val="clear" w:color="auto" w:fill="auto"/>
            <w:vAlign w:val="center"/>
          </w:tcPr>
          <w:p w14:paraId="60CE5A23">
            <w:pPr>
              <w:jc w:val="center"/>
              <w:rPr>
                <w:rFonts w:hint="eastAsia" w:ascii="宋体" w:hAnsi="宋体" w:eastAsia="宋体" w:cs="宋体"/>
                <w:i w:val="0"/>
                <w:iCs w:val="0"/>
                <w:color w:val="000000"/>
                <w:sz w:val="18"/>
                <w:szCs w:val="18"/>
                <w:u w:val="none"/>
              </w:rPr>
            </w:pPr>
          </w:p>
        </w:tc>
        <w:tc>
          <w:tcPr>
            <w:tcW w:w="536" w:type="pct"/>
            <w:tcBorders>
              <w:top w:val="single" w:color="000000" w:sz="4" w:space="0"/>
              <w:left w:val="single" w:color="000000" w:sz="4" w:space="0"/>
              <w:bottom w:val="nil"/>
              <w:right w:val="single" w:color="000000" w:sz="4" w:space="0"/>
            </w:tcBorders>
            <w:shd w:val="clear" w:color="auto" w:fill="auto"/>
            <w:vAlign w:val="center"/>
          </w:tcPr>
          <w:p w14:paraId="5A3FC3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56" w:type="pct"/>
            <w:tcBorders>
              <w:top w:val="single" w:color="000000" w:sz="4" w:space="0"/>
              <w:left w:val="single" w:color="000000" w:sz="4" w:space="0"/>
              <w:bottom w:val="nil"/>
              <w:right w:val="single" w:color="000000" w:sz="4" w:space="0"/>
            </w:tcBorders>
            <w:shd w:val="clear" w:color="auto" w:fill="auto"/>
            <w:vAlign w:val="center"/>
          </w:tcPr>
          <w:p w14:paraId="4799F4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84" w:type="pct"/>
            <w:tcBorders>
              <w:top w:val="single" w:color="000000" w:sz="4" w:space="0"/>
              <w:left w:val="single" w:color="000000" w:sz="4" w:space="0"/>
              <w:bottom w:val="nil"/>
              <w:right w:val="single" w:color="000000" w:sz="4" w:space="0"/>
            </w:tcBorders>
            <w:shd w:val="clear" w:color="auto" w:fill="auto"/>
            <w:vAlign w:val="center"/>
          </w:tcPr>
          <w:p w14:paraId="7431AD23">
            <w:pPr>
              <w:jc w:val="center"/>
              <w:rPr>
                <w:rFonts w:hint="eastAsia" w:ascii="宋体" w:hAnsi="宋体" w:eastAsia="宋体" w:cs="宋体"/>
                <w:i w:val="0"/>
                <w:iCs w:val="0"/>
                <w:color w:val="000000"/>
                <w:sz w:val="18"/>
                <w:szCs w:val="18"/>
                <w:u w:val="none"/>
              </w:rPr>
            </w:pPr>
          </w:p>
        </w:tc>
      </w:tr>
      <w:tr w14:paraId="3A80C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61" w:type="pct"/>
            <w:vMerge w:val="continue"/>
            <w:tcBorders>
              <w:top w:val="single" w:color="000000" w:sz="4" w:space="0"/>
              <w:left w:val="single" w:color="000000" w:sz="4" w:space="0"/>
              <w:bottom w:val="nil"/>
              <w:right w:val="single" w:color="000000" w:sz="4" w:space="0"/>
            </w:tcBorders>
            <w:shd w:val="clear" w:color="auto" w:fill="auto"/>
            <w:vAlign w:val="center"/>
          </w:tcPr>
          <w:p w14:paraId="09145AD8">
            <w:pPr>
              <w:jc w:val="center"/>
              <w:rPr>
                <w:rFonts w:hint="eastAsia" w:ascii="宋体" w:hAnsi="宋体" w:eastAsia="宋体" w:cs="宋体"/>
                <w:i w:val="0"/>
                <w:iCs w:val="0"/>
                <w:color w:val="000000"/>
                <w:sz w:val="18"/>
                <w:szCs w:val="18"/>
                <w:u w:val="none"/>
              </w:rPr>
            </w:pPr>
          </w:p>
        </w:tc>
        <w:tc>
          <w:tcPr>
            <w:tcW w:w="362" w:type="pct"/>
            <w:tcBorders>
              <w:top w:val="single" w:color="000000" w:sz="4" w:space="0"/>
              <w:left w:val="single" w:color="000000" w:sz="4" w:space="0"/>
              <w:bottom w:val="nil"/>
              <w:right w:val="single" w:color="000000" w:sz="4" w:space="0"/>
            </w:tcBorders>
            <w:shd w:val="clear" w:color="auto" w:fill="auto"/>
            <w:vAlign w:val="center"/>
          </w:tcPr>
          <w:p w14:paraId="4F8EAA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361" w:type="pct"/>
            <w:tcBorders>
              <w:top w:val="single" w:color="000000" w:sz="4" w:space="0"/>
              <w:left w:val="single" w:color="000000" w:sz="4" w:space="0"/>
              <w:bottom w:val="nil"/>
              <w:right w:val="single" w:color="000000" w:sz="4" w:space="0"/>
            </w:tcBorders>
            <w:shd w:val="clear" w:color="auto" w:fill="auto"/>
            <w:vAlign w:val="center"/>
          </w:tcPr>
          <w:p w14:paraId="3EC77C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443" w:type="pct"/>
            <w:tcBorders>
              <w:top w:val="single" w:color="000000" w:sz="4" w:space="0"/>
              <w:left w:val="single" w:color="000000" w:sz="4" w:space="0"/>
              <w:bottom w:val="nil"/>
              <w:right w:val="single" w:color="000000" w:sz="4" w:space="0"/>
            </w:tcBorders>
            <w:shd w:val="clear" w:color="auto" w:fill="auto"/>
            <w:vAlign w:val="center"/>
          </w:tcPr>
          <w:p w14:paraId="560D3A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福利企业残疾职工满意度</w:t>
            </w:r>
          </w:p>
        </w:tc>
        <w:tc>
          <w:tcPr>
            <w:tcW w:w="329" w:type="pct"/>
            <w:tcBorders>
              <w:top w:val="single" w:color="000000" w:sz="4" w:space="0"/>
              <w:left w:val="single" w:color="000000" w:sz="4" w:space="0"/>
              <w:bottom w:val="nil"/>
              <w:right w:val="single" w:color="000000" w:sz="4" w:space="0"/>
            </w:tcBorders>
            <w:shd w:val="clear" w:color="auto" w:fill="auto"/>
            <w:vAlign w:val="center"/>
          </w:tcPr>
          <w:p w14:paraId="163DE7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32" w:type="pct"/>
            <w:tcBorders>
              <w:top w:val="single" w:color="000000" w:sz="4" w:space="0"/>
              <w:left w:val="single" w:color="000000" w:sz="4" w:space="0"/>
              <w:bottom w:val="nil"/>
              <w:right w:val="single" w:color="000000" w:sz="4" w:space="0"/>
            </w:tcBorders>
            <w:shd w:val="clear" w:color="auto" w:fill="auto"/>
            <w:vAlign w:val="center"/>
          </w:tcPr>
          <w:p w14:paraId="39934B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390" w:type="pct"/>
            <w:tcBorders>
              <w:top w:val="single" w:color="000000" w:sz="4" w:space="0"/>
              <w:left w:val="single" w:color="000000" w:sz="4" w:space="0"/>
              <w:bottom w:val="nil"/>
              <w:right w:val="single" w:color="000000" w:sz="4" w:space="0"/>
            </w:tcBorders>
            <w:shd w:val="clear" w:color="auto" w:fill="auto"/>
            <w:vAlign w:val="center"/>
          </w:tcPr>
          <w:p w14:paraId="572F8A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390" w:type="pct"/>
            <w:tcBorders>
              <w:top w:val="single" w:color="000000" w:sz="4" w:space="0"/>
              <w:left w:val="single" w:color="000000" w:sz="4" w:space="0"/>
              <w:bottom w:val="nil"/>
              <w:right w:val="single" w:color="000000" w:sz="4" w:space="0"/>
            </w:tcBorders>
            <w:shd w:val="clear" w:color="auto" w:fill="auto"/>
            <w:vAlign w:val="center"/>
          </w:tcPr>
          <w:p w14:paraId="4E5FD9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349" w:type="pct"/>
            <w:tcBorders>
              <w:top w:val="single" w:color="000000" w:sz="4" w:space="0"/>
              <w:left w:val="single" w:color="000000" w:sz="4" w:space="0"/>
              <w:bottom w:val="nil"/>
              <w:right w:val="single" w:color="000000" w:sz="4" w:space="0"/>
            </w:tcBorders>
            <w:shd w:val="clear" w:color="auto" w:fill="auto"/>
            <w:vAlign w:val="center"/>
          </w:tcPr>
          <w:p w14:paraId="4C32D0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25DC3E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56" w:type="pct"/>
            <w:tcBorders>
              <w:top w:val="single" w:color="000000" w:sz="4" w:space="0"/>
              <w:left w:val="single" w:color="000000" w:sz="4" w:space="0"/>
              <w:bottom w:val="nil"/>
              <w:right w:val="single" w:color="000000" w:sz="4" w:space="0"/>
            </w:tcBorders>
            <w:shd w:val="clear" w:color="auto" w:fill="auto"/>
            <w:vAlign w:val="center"/>
          </w:tcPr>
          <w:p w14:paraId="1F5C3B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84" w:type="pct"/>
            <w:tcBorders>
              <w:top w:val="single" w:color="000000" w:sz="4" w:space="0"/>
              <w:left w:val="single" w:color="000000" w:sz="4" w:space="0"/>
              <w:bottom w:val="nil"/>
              <w:right w:val="single" w:color="000000" w:sz="4" w:space="0"/>
            </w:tcBorders>
            <w:shd w:val="clear" w:color="auto" w:fill="auto"/>
            <w:vAlign w:val="center"/>
          </w:tcPr>
          <w:p w14:paraId="762AD1B2">
            <w:pPr>
              <w:jc w:val="center"/>
              <w:rPr>
                <w:rFonts w:hint="eastAsia" w:ascii="宋体" w:hAnsi="宋体" w:eastAsia="宋体" w:cs="宋体"/>
                <w:i w:val="0"/>
                <w:iCs w:val="0"/>
                <w:color w:val="000000"/>
                <w:sz w:val="18"/>
                <w:szCs w:val="18"/>
                <w:u w:val="none"/>
              </w:rPr>
            </w:pPr>
          </w:p>
        </w:tc>
      </w:tr>
      <w:tr w14:paraId="0A54A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322"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BD2F3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79E3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77FE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7E3BBF">
            <w:pPr>
              <w:jc w:val="center"/>
              <w:rPr>
                <w:rFonts w:hint="eastAsia" w:ascii="宋体" w:hAnsi="宋体" w:eastAsia="宋体" w:cs="宋体"/>
                <w:i w:val="0"/>
                <w:iCs w:val="0"/>
                <w:color w:val="000000"/>
                <w:sz w:val="18"/>
                <w:szCs w:val="18"/>
                <w:u w:val="none"/>
              </w:rPr>
            </w:pPr>
          </w:p>
        </w:tc>
      </w:tr>
    </w:tbl>
    <w:p w14:paraId="63AF8753">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 w:hAnsi="仿宋" w:eastAsia="仿宋" w:cs="仿宋"/>
          <w:sz w:val="32"/>
          <w:szCs w:val="32"/>
        </w:rPr>
      </w:pP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63"/>
        <w:gridCol w:w="666"/>
        <w:gridCol w:w="663"/>
        <w:gridCol w:w="608"/>
        <w:gridCol w:w="608"/>
        <w:gridCol w:w="619"/>
        <w:gridCol w:w="610"/>
        <w:gridCol w:w="612"/>
        <w:gridCol w:w="620"/>
        <w:gridCol w:w="914"/>
        <w:gridCol w:w="946"/>
        <w:gridCol w:w="993"/>
      </w:tblGrid>
      <w:tr w14:paraId="688C97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500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BE42CE1">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项目支出绩效自评表</w:t>
            </w:r>
            <w:r>
              <w:rPr>
                <w:rFonts w:hint="eastAsia" w:ascii="宋体" w:hAnsi="宋体" w:eastAsia="宋体" w:cs="宋体"/>
                <w:b/>
                <w:bCs/>
                <w:i w:val="0"/>
                <w:iCs w:val="0"/>
                <w:color w:val="000000"/>
                <w:kern w:val="0"/>
                <w:sz w:val="40"/>
                <w:szCs w:val="40"/>
                <w:u w:val="none"/>
                <w:lang w:val="en-US" w:eastAsia="zh-CN" w:bidi="ar"/>
              </w:rPr>
              <w:br w:type="textWrapping"/>
            </w:r>
            <w:r>
              <w:rPr>
                <w:rFonts w:hint="eastAsia" w:ascii="宋体" w:hAnsi="宋体" w:eastAsia="宋体" w:cs="宋体"/>
                <w:b/>
                <w:bCs/>
                <w:i w:val="0"/>
                <w:iCs w:val="0"/>
                <w:color w:val="000000"/>
                <w:kern w:val="0"/>
                <w:sz w:val="40"/>
                <w:szCs w:val="40"/>
                <w:u w:val="none"/>
                <w:lang w:val="en-US" w:eastAsia="zh-CN" w:bidi="ar"/>
              </w:rPr>
              <w:t>(2023年度）</w:t>
            </w:r>
          </w:p>
        </w:tc>
      </w:tr>
      <w:tr w14:paraId="2866D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A4873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4219"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59609EE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驻村第一书记相关费用</w:t>
            </w:r>
          </w:p>
        </w:tc>
      </w:tr>
      <w:tr w14:paraId="2CC9AB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D85BA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146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C864E8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呼和浩特市民政局（部门）</w:t>
            </w:r>
          </w:p>
        </w:tc>
        <w:tc>
          <w:tcPr>
            <w:tcW w:w="7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42B30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03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A98E3F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呼和浩特市民政局综合保障中心</w:t>
            </w:r>
          </w:p>
        </w:tc>
      </w:tr>
      <w:tr w14:paraId="627D5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80"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5147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7FC52E">
            <w:pPr>
              <w:rPr>
                <w:rFonts w:hint="eastAsia" w:ascii="宋体" w:hAnsi="宋体" w:eastAsia="宋体" w:cs="宋体"/>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F3A9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71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0D16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7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0200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0CE9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EB34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5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F19A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6C15F6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8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5E691B">
            <w:pPr>
              <w:jc w:val="center"/>
              <w:rPr>
                <w:rFonts w:hint="eastAsia" w:ascii="宋体" w:hAnsi="宋体" w:eastAsia="宋体" w:cs="宋体"/>
                <w:i w:val="0"/>
                <w:iCs w:val="0"/>
                <w:color w:val="000000"/>
                <w:sz w:val="18"/>
                <w:szCs w:val="18"/>
                <w:u w:val="none"/>
              </w:rPr>
            </w:pP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82C1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C11FF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2.33</w:t>
            </w:r>
          </w:p>
        </w:tc>
        <w:tc>
          <w:tcPr>
            <w:tcW w:w="71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A489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2.33</w:t>
            </w:r>
          </w:p>
        </w:tc>
        <w:tc>
          <w:tcPr>
            <w:tcW w:w="7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FF97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2.33</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906A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A004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5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205A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27101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8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456722">
            <w:pPr>
              <w:jc w:val="center"/>
              <w:rPr>
                <w:rFonts w:hint="eastAsia" w:ascii="宋体" w:hAnsi="宋体" w:eastAsia="宋体" w:cs="宋体"/>
                <w:i w:val="0"/>
                <w:iCs w:val="0"/>
                <w:color w:val="000000"/>
                <w:sz w:val="18"/>
                <w:szCs w:val="18"/>
                <w:u w:val="none"/>
              </w:rPr>
            </w:pP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56C11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41AAA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2.33</w:t>
            </w:r>
          </w:p>
        </w:tc>
        <w:tc>
          <w:tcPr>
            <w:tcW w:w="71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038A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2.33</w:t>
            </w:r>
          </w:p>
        </w:tc>
        <w:tc>
          <w:tcPr>
            <w:tcW w:w="7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DF53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2.33</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FC7AF">
            <w:pPr>
              <w:keepNext w:val="0"/>
              <w:keepLines w:val="0"/>
              <w:widowControl/>
              <w:suppressLineNumbers w:val="0"/>
              <w:jc w:val="center"/>
              <w:textAlignment w:val="center"/>
              <w:rPr>
                <w:rFonts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0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D75B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5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F6560">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6AE8E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8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CC272E">
            <w:pPr>
              <w:jc w:val="center"/>
              <w:rPr>
                <w:rFonts w:hint="eastAsia" w:ascii="宋体" w:hAnsi="宋体" w:eastAsia="宋体" w:cs="宋体"/>
                <w:i w:val="0"/>
                <w:iCs w:val="0"/>
                <w:color w:val="000000"/>
                <w:sz w:val="18"/>
                <w:szCs w:val="18"/>
                <w:u w:val="none"/>
              </w:rPr>
            </w:pP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89F8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上年结转资金</w:t>
            </w: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6C217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71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DC71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E065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4E0E2">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0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21D7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5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65E90">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71B6E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8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A3F5C2">
            <w:pPr>
              <w:jc w:val="center"/>
              <w:rPr>
                <w:rFonts w:hint="eastAsia" w:ascii="宋体" w:hAnsi="宋体" w:eastAsia="宋体" w:cs="宋体"/>
                <w:i w:val="0"/>
                <w:iCs w:val="0"/>
                <w:color w:val="000000"/>
                <w:sz w:val="18"/>
                <w:szCs w:val="18"/>
                <w:u w:val="none"/>
              </w:rPr>
            </w:pP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3157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5E811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71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C941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2FC3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983D8">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0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B49B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5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9FA93">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3820E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80"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746B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1824"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B4B9D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2394"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E0E4F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1E8135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78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AED47D">
            <w:pPr>
              <w:jc w:val="center"/>
              <w:rPr>
                <w:rFonts w:hint="eastAsia" w:ascii="宋体" w:hAnsi="宋体" w:eastAsia="宋体" w:cs="宋体"/>
                <w:i w:val="0"/>
                <w:iCs w:val="0"/>
                <w:color w:val="000000"/>
                <w:sz w:val="18"/>
                <w:szCs w:val="18"/>
                <w:u w:val="none"/>
              </w:rPr>
            </w:pPr>
          </w:p>
        </w:tc>
        <w:tc>
          <w:tcPr>
            <w:tcW w:w="1824"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4263B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确保驻村第一书记和工作队派的优、下得去、融得进、干得好。主要任务：1.建强村党组织2.推进强村富民3.提升治理水平4.为民办事服务</w:t>
            </w:r>
          </w:p>
        </w:tc>
        <w:tc>
          <w:tcPr>
            <w:tcW w:w="2394"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EAD3E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按照关于印发《呼和浩特市驻村干部管理办法》的通知</w:t>
            </w:r>
          </w:p>
        </w:tc>
      </w:tr>
      <w:tr w14:paraId="74EFE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5FA8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3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4EA6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4B71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A29B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EBF7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指标性质</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0875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指标方向</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1D97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B410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5BD1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193F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72A2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5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C008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24E1E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9" w:type="pct"/>
            <w:vMerge w:val="restart"/>
            <w:tcBorders>
              <w:top w:val="single" w:color="000000" w:sz="4" w:space="0"/>
              <w:left w:val="single" w:color="000000" w:sz="4" w:space="0"/>
              <w:bottom w:val="nil"/>
              <w:right w:val="single" w:color="000000" w:sz="4" w:space="0"/>
            </w:tcBorders>
            <w:shd w:val="clear" w:color="auto" w:fill="auto"/>
            <w:vAlign w:val="center"/>
          </w:tcPr>
          <w:p w14:paraId="32CE61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390" w:type="pct"/>
            <w:vMerge w:val="restart"/>
            <w:tcBorders>
              <w:top w:val="single" w:color="000000" w:sz="4" w:space="0"/>
              <w:left w:val="single" w:color="000000" w:sz="4" w:space="0"/>
              <w:bottom w:val="nil"/>
              <w:right w:val="single" w:color="000000" w:sz="4" w:space="0"/>
            </w:tcBorders>
            <w:shd w:val="clear" w:color="auto" w:fill="auto"/>
            <w:vAlign w:val="center"/>
          </w:tcPr>
          <w:p w14:paraId="074DE9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389" w:type="pct"/>
            <w:vMerge w:val="restart"/>
            <w:tcBorders>
              <w:top w:val="single" w:color="000000" w:sz="4" w:space="0"/>
              <w:left w:val="single" w:color="000000" w:sz="4" w:space="0"/>
              <w:bottom w:val="nil"/>
              <w:right w:val="single" w:color="000000" w:sz="4" w:space="0"/>
            </w:tcBorders>
            <w:shd w:val="clear" w:color="auto" w:fill="auto"/>
            <w:vAlign w:val="center"/>
          </w:tcPr>
          <w:p w14:paraId="701592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748BC4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下派驻村人数</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5C75DB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0" w:type="pct"/>
            <w:tcBorders>
              <w:top w:val="single" w:color="000000" w:sz="4" w:space="0"/>
              <w:left w:val="single" w:color="000000" w:sz="4" w:space="0"/>
              <w:bottom w:val="nil"/>
              <w:right w:val="single" w:color="000000" w:sz="4" w:space="0"/>
            </w:tcBorders>
            <w:shd w:val="clear" w:color="auto" w:fill="auto"/>
            <w:vAlign w:val="center"/>
          </w:tcPr>
          <w:p w14:paraId="001577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358" w:type="pct"/>
            <w:tcBorders>
              <w:top w:val="single" w:color="000000" w:sz="4" w:space="0"/>
              <w:left w:val="single" w:color="000000" w:sz="4" w:space="0"/>
              <w:bottom w:val="nil"/>
              <w:right w:val="single" w:color="000000" w:sz="4" w:space="0"/>
            </w:tcBorders>
            <w:shd w:val="clear" w:color="auto" w:fill="auto"/>
            <w:vAlign w:val="center"/>
          </w:tcPr>
          <w:p w14:paraId="56ED8B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6673B7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60" w:type="pct"/>
            <w:tcBorders>
              <w:top w:val="single" w:color="000000" w:sz="4" w:space="0"/>
              <w:left w:val="single" w:color="000000" w:sz="4" w:space="0"/>
              <w:bottom w:val="nil"/>
              <w:right w:val="single" w:color="000000" w:sz="4" w:space="0"/>
            </w:tcBorders>
            <w:shd w:val="clear" w:color="auto" w:fill="auto"/>
            <w:vAlign w:val="center"/>
          </w:tcPr>
          <w:p w14:paraId="31F6DF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3A21CD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0A0F6A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83" w:type="pct"/>
            <w:tcBorders>
              <w:top w:val="single" w:color="000000" w:sz="4" w:space="0"/>
              <w:left w:val="single" w:color="000000" w:sz="4" w:space="0"/>
              <w:bottom w:val="nil"/>
              <w:right w:val="single" w:color="000000" w:sz="4" w:space="0"/>
            </w:tcBorders>
            <w:shd w:val="clear" w:color="auto" w:fill="auto"/>
            <w:vAlign w:val="center"/>
          </w:tcPr>
          <w:p w14:paraId="78FF2F63">
            <w:pPr>
              <w:jc w:val="center"/>
              <w:rPr>
                <w:rFonts w:hint="eastAsia" w:ascii="宋体" w:hAnsi="宋体" w:eastAsia="宋体" w:cs="宋体"/>
                <w:i w:val="0"/>
                <w:iCs w:val="0"/>
                <w:color w:val="000000"/>
                <w:sz w:val="18"/>
                <w:szCs w:val="18"/>
                <w:u w:val="none"/>
              </w:rPr>
            </w:pPr>
          </w:p>
        </w:tc>
      </w:tr>
      <w:tr w14:paraId="71B1E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9" w:type="pct"/>
            <w:vMerge w:val="continue"/>
            <w:tcBorders>
              <w:top w:val="single" w:color="000000" w:sz="4" w:space="0"/>
              <w:left w:val="single" w:color="000000" w:sz="4" w:space="0"/>
              <w:bottom w:val="nil"/>
              <w:right w:val="single" w:color="000000" w:sz="4" w:space="0"/>
            </w:tcBorders>
            <w:shd w:val="clear" w:color="auto" w:fill="auto"/>
            <w:vAlign w:val="center"/>
          </w:tcPr>
          <w:p w14:paraId="29E0DD35">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01E01582">
            <w:pPr>
              <w:jc w:val="center"/>
              <w:rPr>
                <w:rFonts w:hint="eastAsia" w:ascii="宋体" w:hAnsi="宋体" w:eastAsia="宋体" w:cs="宋体"/>
                <w:i w:val="0"/>
                <w:iCs w:val="0"/>
                <w:color w:val="000000"/>
                <w:sz w:val="18"/>
                <w:szCs w:val="18"/>
                <w:u w:val="none"/>
              </w:rPr>
            </w:pPr>
          </w:p>
        </w:tc>
        <w:tc>
          <w:tcPr>
            <w:tcW w:w="389" w:type="pct"/>
            <w:vMerge w:val="continue"/>
            <w:tcBorders>
              <w:top w:val="single" w:color="000000" w:sz="4" w:space="0"/>
              <w:left w:val="single" w:color="000000" w:sz="4" w:space="0"/>
              <w:bottom w:val="nil"/>
              <w:right w:val="single" w:color="000000" w:sz="4" w:space="0"/>
            </w:tcBorders>
            <w:shd w:val="clear" w:color="auto" w:fill="auto"/>
            <w:vAlign w:val="center"/>
          </w:tcPr>
          <w:p w14:paraId="145180D3">
            <w:pPr>
              <w:jc w:val="center"/>
              <w:rPr>
                <w:rFonts w:hint="eastAsia" w:ascii="宋体" w:hAnsi="宋体" w:eastAsia="宋体" w:cs="宋体"/>
                <w:i w:val="0"/>
                <w:iCs w:val="0"/>
                <w:color w:val="000000"/>
                <w:sz w:val="18"/>
                <w:szCs w:val="18"/>
                <w:u w:val="none"/>
              </w:rPr>
            </w:pPr>
          </w:p>
        </w:tc>
        <w:tc>
          <w:tcPr>
            <w:tcW w:w="357" w:type="pct"/>
            <w:tcBorders>
              <w:top w:val="single" w:color="000000" w:sz="4" w:space="0"/>
              <w:left w:val="single" w:color="000000" w:sz="4" w:space="0"/>
              <w:bottom w:val="nil"/>
              <w:right w:val="single" w:color="000000" w:sz="4" w:space="0"/>
            </w:tcBorders>
            <w:shd w:val="clear" w:color="auto" w:fill="auto"/>
            <w:vAlign w:val="center"/>
          </w:tcPr>
          <w:p w14:paraId="43B7B6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行政村数</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773D29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0" w:type="pct"/>
            <w:tcBorders>
              <w:top w:val="single" w:color="000000" w:sz="4" w:space="0"/>
              <w:left w:val="single" w:color="000000" w:sz="4" w:space="0"/>
              <w:bottom w:val="nil"/>
              <w:right w:val="single" w:color="000000" w:sz="4" w:space="0"/>
            </w:tcBorders>
            <w:shd w:val="clear" w:color="auto" w:fill="auto"/>
            <w:vAlign w:val="center"/>
          </w:tcPr>
          <w:p w14:paraId="1D6EF1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358" w:type="pct"/>
            <w:tcBorders>
              <w:top w:val="single" w:color="000000" w:sz="4" w:space="0"/>
              <w:left w:val="single" w:color="000000" w:sz="4" w:space="0"/>
              <w:bottom w:val="nil"/>
              <w:right w:val="single" w:color="000000" w:sz="4" w:space="0"/>
            </w:tcBorders>
            <w:shd w:val="clear" w:color="auto" w:fill="auto"/>
            <w:vAlign w:val="center"/>
          </w:tcPr>
          <w:p w14:paraId="142D7A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45DA89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60" w:type="pct"/>
            <w:tcBorders>
              <w:top w:val="single" w:color="000000" w:sz="4" w:space="0"/>
              <w:left w:val="single" w:color="000000" w:sz="4" w:space="0"/>
              <w:bottom w:val="nil"/>
              <w:right w:val="single" w:color="000000" w:sz="4" w:space="0"/>
            </w:tcBorders>
            <w:shd w:val="clear" w:color="auto" w:fill="auto"/>
            <w:vAlign w:val="center"/>
          </w:tcPr>
          <w:p w14:paraId="434B1B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48AD07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011588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83" w:type="pct"/>
            <w:tcBorders>
              <w:top w:val="single" w:color="000000" w:sz="4" w:space="0"/>
              <w:left w:val="single" w:color="000000" w:sz="4" w:space="0"/>
              <w:bottom w:val="nil"/>
              <w:right w:val="single" w:color="000000" w:sz="4" w:space="0"/>
            </w:tcBorders>
            <w:shd w:val="clear" w:color="auto" w:fill="auto"/>
            <w:vAlign w:val="center"/>
          </w:tcPr>
          <w:p w14:paraId="0BE7A95F">
            <w:pPr>
              <w:jc w:val="center"/>
              <w:rPr>
                <w:rFonts w:hint="eastAsia" w:ascii="宋体" w:hAnsi="宋体" w:eastAsia="宋体" w:cs="宋体"/>
                <w:i w:val="0"/>
                <w:iCs w:val="0"/>
                <w:color w:val="000000"/>
                <w:sz w:val="18"/>
                <w:szCs w:val="18"/>
                <w:u w:val="none"/>
              </w:rPr>
            </w:pPr>
          </w:p>
        </w:tc>
      </w:tr>
      <w:tr w14:paraId="228D1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9" w:type="pct"/>
            <w:vMerge w:val="continue"/>
            <w:tcBorders>
              <w:top w:val="single" w:color="000000" w:sz="4" w:space="0"/>
              <w:left w:val="single" w:color="000000" w:sz="4" w:space="0"/>
              <w:bottom w:val="nil"/>
              <w:right w:val="single" w:color="000000" w:sz="4" w:space="0"/>
            </w:tcBorders>
            <w:shd w:val="clear" w:color="auto" w:fill="auto"/>
            <w:vAlign w:val="center"/>
          </w:tcPr>
          <w:p w14:paraId="044C7B07">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70486536">
            <w:pPr>
              <w:jc w:val="center"/>
              <w:rPr>
                <w:rFonts w:hint="eastAsia" w:ascii="宋体" w:hAnsi="宋体" w:eastAsia="宋体" w:cs="宋体"/>
                <w:i w:val="0"/>
                <w:iCs w:val="0"/>
                <w:color w:val="000000"/>
                <w:sz w:val="18"/>
                <w:szCs w:val="18"/>
                <w:u w:val="none"/>
              </w:rPr>
            </w:pPr>
          </w:p>
        </w:tc>
        <w:tc>
          <w:tcPr>
            <w:tcW w:w="389" w:type="pct"/>
            <w:tcBorders>
              <w:top w:val="single" w:color="000000" w:sz="4" w:space="0"/>
              <w:left w:val="single" w:color="000000" w:sz="4" w:space="0"/>
              <w:bottom w:val="nil"/>
              <w:right w:val="single" w:color="000000" w:sz="4" w:space="0"/>
            </w:tcBorders>
            <w:shd w:val="clear" w:color="auto" w:fill="auto"/>
            <w:vAlign w:val="center"/>
          </w:tcPr>
          <w:p w14:paraId="32AA90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655731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驻村干部资金发放率</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76A733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0" w:type="pct"/>
            <w:tcBorders>
              <w:top w:val="single" w:color="000000" w:sz="4" w:space="0"/>
              <w:left w:val="single" w:color="000000" w:sz="4" w:space="0"/>
              <w:bottom w:val="nil"/>
              <w:right w:val="single" w:color="000000" w:sz="4" w:space="0"/>
            </w:tcBorders>
            <w:shd w:val="clear" w:color="auto" w:fill="auto"/>
            <w:vAlign w:val="center"/>
          </w:tcPr>
          <w:p w14:paraId="5B347C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58" w:type="pct"/>
            <w:tcBorders>
              <w:top w:val="single" w:color="000000" w:sz="4" w:space="0"/>
              <w:left w:val="single" w:color="000000" w:sz="4" w:space="0"/>
              <w:bottom w:val="nil"/>
              <w:right w:val="single" w:color="000000" w:sz="4" w:space="0"/>
            </w:tcBorders>
            <w:shd w:val="clear" w:color="auto" w:fill="auto"/>
            <w:vAlign w:val="center"/>
          </w:tcPr>
          <w:p w14:paraId="3F2DA0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3650DE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60" w:type="pct"/>
            <w:tcBorders>
              <w:top w:val="single" w:color="000000" w:sz="4" w:space="0"/>
              <w:left w:val="single" w:color="000000" w:sz="4" w:space="0"/>
              <w:bottom w:val="nil"/>
              <w:right w:val="single" w:color="000000" w:sz="4" w:space="0"/>
            </w:tcBorders>
            <w:shd w:val="clear" w:color="auto" w:fill="auto"/>
            <w:vAlign w:val="center"/>
          </w:tcPr>
          <w:p w14:paraId="6C0144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61B2F7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44187E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83" w:type="pct"/>
            <w:tcBorders>
              <w:top w:val="single" w:color="000000" w:sz="4" w:space="0"/>
              <w:left w:val="single" w:color="000000" w:sz="4" w:space="0"/>
              <w:bottom w:val="nil"/>
              <w:right w:val="single" w:color="000000" w:sz="4" w:space="0"/>
            </w:tcBorders>
            <w:shd w:val="clear" w:color="auto" w:fill="auto"/>
            <w:vAlign w:val="center"/>
          </w:tcPr>
          <w:p w14:paraId="1FEA531B">
            <w:pPr>
              <w:jc w:val="center"/>
              <w:rPr>
                <w:rFonts w:hint="eastAsia" w:ascii="宋体" w:hAnsi="宋体" w:eastAsia="宋体" w:cs="宋体"/>
                <w:i w:val="0"/>
                <w:iCs w:val="0"/>
                <w:color w:val="000000"/>
                <w:sz w:val="18"/>
                <w:szCs w:val="18"/>
                <w:u w:val="none"/>
              </w:rPr>
            </w:pPr>
          </w:p>
        </w:tc>
      </w:tr>
      <w:tr w14:paraId="13246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9" w:type="pct"/>
            <w:vMerge w:val="continue"/>
            <w:tcBorders>
              <w:top w:val="single" w:color="000000" w:sz="4" w:space="0"/>
              <w:left w:val="single" w:color="000000" w:sz="4" w:space="0"/>
              <w:bottom w:val="nil"/>
              <w:right w:val="single" w:color="000000" w:sz="4" w:space="0"/>
            </w:tcBorders>
            <w:shd w:val="clear" w:color="auto" w:fill="auto"/>
            <w:vAlign w:val="center"/>
          </w:tcPr>
          <w:p w14:paraId="0DD6D355">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13659759">
            <w:pPr>
              <w:jc w:val="center"/>
              <w:rPr>
                <w:rFonts w:hint="eastAsia" w:ascii="宋体" w:hAnsi="宋体" w:eastAsia="宋体" w:cs="宋体"/>
                <w:i w:val="0"/>
                <w:iCs w:val="0"/>
                <w:color w:val="000000"/>
                <w:sz w:val="18"/>
                <w:szCs w:val="18"/>
                <w:u w:val="none"/>
              </w:rPr>
            </w:pPr>
          </w:p>
        </w:tc>
        <w:tc>
          <w:tcPr>
            <w:tcW w:w="389" w:type="pct"/>
            <w:vMerge w:val="restart"/>
            <w:tcBorders>
              <w:top w:val="single" w:color="000000" w:sz="4" w:space="0"/>
              <w:left w:val="single" w:color="000000" w:sz="4" w:space="0"/>
              <w:bottom w:val="nil"/>
              <w:right w:val="single" w:color="000000" w:sz="4" w:space="0"/>
            </w:tcBorders>
            <w:shd w:val="clear" w:color="auto" w:fill="auto"/>
            <w:vAlign w:val="center"/>
          </w:tcPr>
          <w:p w14:paraId="716FE9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354938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驻村干部按月发放率</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276348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0" w:type="pct"/>
            <w:tcBorders>
              <w:top w:val="single" w:color="000000" w:sz="4" w:space="0"/>
              <w:left w:val="single" w:color="000000" w:sz="4" w:space="0"/>
              <w:bottom w:val="nil"/>
              <w:right w:val="single" w:color="000000" w:sz="4" w:space="0"/>
            </w:tcBorders>
            <w:shd w:val="clear" w:color="auto" w:fill="auto"/>
            <w:vAlign w:val="center"/>
          </w:tcPr>
          <w:p w14:paraId="221C80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58" w:type="pct"/>
            <w:tcBorders>
              <w:top w:val="single" w:color="000000" w:sz="4" w:space="0"/>
              <w:left w:val="single" w:color="000000" w:sz="4" w:space="0"/>
              <w:bottom w:val="nil"/>
              <w:right w:val="single" w:color="000000" w:sz="4" w:space="0"/>
            </w:tcBorders>
            <w:shd w:val="clear" w:color="auto" w:fill="auto"/>
            <w:vAlign w:val="center"/>
          </w:tcPr>
          <w:p w14:paraId="3A93EF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07D134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60" w:type="pct"/>
            <w:tcBorders>
              <w:top w:val="single" w:color="000000" w:sz="4" w:space="0"/>
              <w:left w:val="single" w:color="000000" w:sz="4" w:space="0"/>
              <w:bottom w:val="nil"/>
              <w:right w:val="single" w:color="000000" w:sz="4" w:space="0"/>
            </w:tcBorders>
            <w:shd w:val="clear" w:color="auto" w:fill="auto"/>
            <w:vAlign w:val="center"/>
          </w:tcPr>
          <w:p w14:paraId="12DA76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4D69F8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6E7A17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83" w:type="pct"/>
            <w:tcBorders>
              <w:top w:val="single" w:color="000000" w:sz="4" w:space="0"/>
              <w:left w:val="single" w:color="000000" w:sz="4" w:space="0"/>
              <w:bottom w:val="nil"/>
              <w:right w:val="single" w:color="000000" w:sz="4" w:space="0"/>
            </w:tcBorders>
            <w:shd w:val="clear" w:color="auto" w:fill="auto"/>
            <w:vAlign w:val="center"/>
          </w:tcPr>
          <w:p w14:paraId="66665325">
            <w:pPr>
              <w:jc w:val="center"/>
              <w:rPr>
                <w:rFonts w:hint="eastAsia" w:ascii="宋体" w:hAnsi="宋体" w:eastAsia="宋体" w:cs="宋体"/>
                <w:i w:val="0"/>
                <w:iCs w:val="0"/>
                <w:color w:val="000000"/>
                <w:sz w:val="18"/>
                <w:szCs w:val="18"/>
                <w:u w:val="none"/>
              </w:rPr>
            </w:pPr>
          </w:p>
        </w:tc>
      </w:tr>
      <w:tr w14:paraId="6FACC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9" w:type="pct"/>
            <w:vMerge w:val="continue"/>
            <w:tcBorders>
              <w:top w:val="single" w:color="000000" w:sz="4" w:space="0"/>
              <w:left w:val="single" w:color="000000" w:sz="4" w:space="0"/>
              <w:bottom w:val="nil"/>
              <w:right w:val="single" w:color="000000" w:sz="4" w:space="0"/>
            </w:tcBorders>
            <w:shd w:val="clear" w:color="auto" w:fill="auto"/>
            <w:vAlign w:val="center"/>
          </w:tcPr>
          <w:p w14:paraId="21EBD4BB">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2A34FC5B">
            <w:pPr>
              <w:jc w:val="center"/>
              <w:rPr>
                <w:rFonts w:hint="eastAsia" w:ascii="宋体" w:hAnsi="宋体" w:eastAsia="宋体" w:cs="宋体"/>
                <w:i w:val="0"/>
                <w:iCs w:val="0"/>
                <w:color w:val="000000"/>
                <w:sz w:val="18"/>
                <w:szCs w:val="18"/>
                <w:u w:val="none"/>
              </w:rPr>
            </w:pPr>
          </w:p>
        </w:tc>
        <w:tc>
          <w:tcPr>
            <w:tcW w:w="389" w:type="pct"/>
            <w:vMerge w:val="continue"/>
            <w:tcBorders>
              <w:top w:val="single" w:color="000000" w:sz="4" w:space="0"/>
              <w:left w:val="single" w:color="000000" w:sz="4" w:space="0"/>
              <w:bottom w:val="nil"/>
              <w:right w:val="single" w:color="000000" w:sz="4" w:space="0"/>
            </w:tcBorders>
            <w:shd w:val="clear" w:color="auto" w:fill="auto"/>
            <w:vAlign w:val="center"/>
          </w:tcPr>
          <w:p w14:paraId="73B5801B">
            <w:pPr>
              <w:jc w:val="center"/>
              <w:rPr>
                <w:rFonts w:hint="eastAsia" w:ascii="宋体" w:hAnsi="宋体" w:eastAsia="宋体" w:cs="宋体"/>
                <w:i w:val="0"/>
                <w:iCs w:val="0"/>
                <w:color w:val="000000"/>
                <w:sz w:val="18"/>
                <w:szCs w:val="18"/>
                <w:u w:val="none"/>
              </w:rPr>
            </w:pPr>
          </w:p>
        </w:tc>
        <w:tc>
          <w:tcPr>
            <w:tcW w:w="357" w:type="pct"/>
            <w:tcBorders>
              <w:top w:val="single" w:color="000000" w:sz="4" w:space="0"/>
              <w:left w:val="single" w:color="000000" w:sz="4" w:space="0"/>
              <w:bottom w:val="nil"/>
              <w:right w:val="single" w:color="000000" w:sz="4" w:space="0"/>
            </w:tcBorders>
            <w:shd w:val="clear" w:color="auto" w:fill="auto"/>
            <w:vAlign w:val="center"/>
          </w:tcPr>
          <w:p w14:paraId="5EE58F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项目工作完成时间</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6F1FF7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60" w:type="pct"/>
            <w:tcBorders>
              <w:top w:val="single" w:color="000000" w:sz="4" w:space="0"/>
              <w:left w:val="single" w:color="000000" w:sz="4" w:space="0"/>
              <w:bottom w:val="nil"/>
              <w:right w:val="single" w:color="000000" w:sz="4" w:space="0"/>
            </w:tcBorders>
            <w:shd w:val="clear" w:color="auto" w:fill="auto"/>
            <w:vAlign w:val="center"/>
          </w:tcPr>
          <w:p w14:paraId="3F41BC07">
            <w:pPr>
              <w:jc w:val="center"/>
              <w:rPr>
                <w:rFonts w:hint="eastAsia" w:ascii="宋体" w:hAnsi="宋体" w:eastAsia="宋体" w:cs="宋体"/>
                <w:i w:val="0"/>
                <w:iCs w:val="0"/>
                <w:color w:val="000000"/>
                <w:sz w:val="18"/>
                <w:szCs w:val="18"/>
                <w:u w:val="none"/>
              </w:rPr>
            </w:pPr>
          </w:p>
        </w:tc>
        <w:tc>
          <w:tcPr>
            <w:tcW w:w="358" w:type="pct"/>
            <w:tcBorders>
              <w:top w:val="single" w:color="000000" w:sz="4" w:space="0"/>
              <w:left w:val="single" w:color="000000" w:sz="4" w:space="0"/>
              <w:bottom w:val="nil"/>
              <w:right w:val="single" w:color="000000" w:sz="4" w:space="0"/>
            </w:tcBorders>
            <w:shd w:val="clear" w:color="auto" w:fill="auto"/>
            <w:vAlign w:val="center"/>
          </w:tcPr>
          <w:p w14:paraId="0EAEC5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2023年12月31日前</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756A91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2023年10月31日</w:t>
            </w:r>
          </w:p>
        </w:tc>
        <w:tc>
          <w:tcPr>
            <w:tcW w:w="360" w:type="pct"/>
            <w:tcBorders>
              <w:top w:val="single" w:color="000000" w:sz="4" w:space="0"/>
              <w:left w:val="single" w:color="000000" w:sz="4" w:space="0"/>
              <w:bottom w:val="nil"/>
              <w:right w:val="single" w:color="000000" w:sz="4" w:space="0"/>
            </w:tcBorders>
            <w:shd w:val="clear" w:color="auto" w:fill="auto"/>
            <w:vAlign w:val="center"/>
          </w:tcPr>
          <w:p w14:paraId="2A639D4E">
            <w:pPr>
              <w:jc w:val="center"/>
              <w:rPr>
                <w:rFonts w:hint="eastAsia" w:ascii="宋体" w:hAnsi="宋体" w:eastAsia="宋体" w:cs="宋体"/>
                <w:i w:val="0"/>
                <w:iCs w:val="0"/>
                <w:color w:val="000000"/>
                <w:sz w:val="18"/>
                <w:szCs w:val="18"/>
                <w:u w:val="none"/>
              </w:rPr>
            </w:pPr>
          </w:p>
        </w:tc>
        <w:tc>
          <w:tcPr>
            <w:tcW w:w="536" w:type="pct"/>
            <w:tcBorders>
              <w:top w:val="single" w:color="000000" w:sz="4" w:space="0"/>
              <w:left w:val="single" w:color="000000" w:sz="4" w:space="0"/>
              <w:bottom w:val="nil"/>
              <w:right w:val="single" w:color="000000" w:sz="4" w:space="0"/>
            </w:tcBorders>
            <w:shd w:val="clear" w:color="auto" w:fill="auto"/>
            <w:vAlign w:val="center"/>
          </w:tcPr>
          <w:p w14:paraId="21AEB4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175782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83" w:type="pct"/>
            <w:tcBorders>
              <w:top w:val="single" w:color="000000" w:sz="4" w:space="0"/>
              <w:left w:val="single" w:color="000000" w:sz="4" w:space="0"/>
              <w:bottom w:val="nil"/>
              <w:right w:val="single" w:color="000000" w:sz="4" w:space="0"/>
            </w:tcBorders>
            <w:shd w:val="clear" w:color="auto" w:fill="auto"/>
            <w:vAlign w:val="center"/>
          </w:tcPr>
          <w:p w14:paraId="491FD76C">
            <w:pPr>
              <w:jc w:val="center"/>
              <w:rPr>
                <w:rFonts w:hint="eastAsia" w:ascii="宋体" w:hAnsi="宋体" w:eastAsia="宋体" w:cs="宋体"/>
                <w:i w:val="0"/>
                <w:iCs w:val="0"/>
                <w:color w:val="000000"/>
                <w:sz w:val="18"/>
                <w:szCs w:val="18"/>
                <w:u w:val="none"/>
              </w:rPr>
            </w:pPr>
          </w:p>
        </w:tc>
      </w:tr>
      <w:tr w14:paraId="0356E9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9" w:type="pct"/>
            <w:vMerge w:val="continue"/>
            <w:tcBorders>
              <w:top w:val="single" w:color="000000" w:sz="4" w:space="0"/>
              <w:left w:val="single" w:color="000000" w:sz="4" w:space="0"/>
              <w:bottom w:val="nil"/>
              <w:right w:val="single" w:color="000000" w:sz="4" w:space="0"/>
            </w:tcBorders>
            <w:shd w:val="clear" w:color="auto" w:fill="auto"/>
            <w:vAlign w:val="center"/>
          </w:tcPr>
          <w:p w14:paraId="193AD733">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72EF4AE5">
            <w:pPr>
              <w:jc w:val="center"/>
              <w:rPr>
                <w:rFonts w:hint="eastAsia" w:ascii="宋体" w:hAnsi="宋体" w:eastAsia="宋体" w:cs="宋体"/>
                <w:i w:val="0"/>
                <w:iCs w:val="0"/>
                <w:color w:val="000000"/>
                <w:sz w:val="18"/>
                <w:szCs w:val="18"/>
                <w:u w:val="none"/>
              </w:rPr>
            </w:pPr>
          </w:p>
        </w:tc>
        <w:tc>
          <w:tcPr>
            <w:tcW w:w="389" w:type="pct"/>
            <w:vMerge w:val="restart"/>
            <w:tcBorders>
              <w:top w:val="single" w:color="000000" w:sz="4" w:space="0"/>
              <w:left w:val="single" w:color="000000" w:sz="4" w:space="0"/>
              <w:bottom w:val="nil"/>
              <w:right w:val="single" w:color="000000" w:sz="4" w:space="0"/>
            </w:tcBorders>
            <w:shd w:val="clear" w:color="auto" w:fill="auto"/>
            <w:vAlign w:val="center"/>
          </w:tcPr>
          <w:p w14:paraId="0D128C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0D059B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驻村干部生活费补助标准</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38C3CB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360" w:type="pct"/>
            <w:tcBorders>
              <w:top w:val="single" w:color="000000" w:sz="4" w:space="0"/>
              <w:left w:val="single" w:color="000000" w:sz="4" w:space="0"/>
              <w:bottom w:val="nil"/>
              <w:right w:val="single" w:color="000000" w:sz="4" w:space="0"/>
            </w:tcBorders>
            <w:shd w:val="clear" w:color="auto" w:fill="auto"/>
            <w:vAlign w:val="center"/>
          </w:tcPr>
          <w:p w14:paraId="72B5F5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358" w:type="pct"/>
            <w:tcBorders>
              <w:top w:val="single" w:color="000000" w:sz="4" w:space="0"/>
              <w:left w:val="single" w:color="000000" w:sz="4" w:space="0"/>
              <w:bottom w:val="nil"/>
              <w:right w:val="single" w:color="000000" w:sz="4" w:space="0"/>
            </w:tcBorders>
            <w:shd w:val="clear" w:color="auto" w:fill="auto"/>
            <w:vAlign w:val="center"/>
          </w:tcPr>
          <w:p w14:paraId="31D81A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38B8D5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60" w:type="pct"/>
            <w:tcBorders>
              <w:top w:val="single" w:color="000000" w:sz="4" w:space="0"/>
              <w:left w:val="single" w:color="000000" w:sz="4" w:space="0"/>
              <w:bottom w:val="nil"/>
              <w:right w:val="single" w:color="000000" w:sz="4" w:space="0"/>
            </w:tcBorders>
            <w:shd w:val="clear" w:color="auto" w:fill="auto"/>
            <w:vAlign w:val="center"/>
          </w:tcPr>
          <w:p w14:paraId="342788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元/天</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5DCDD5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4AE05C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83" w:type="pct"/>
            <w:tcBorders>
              <w:top w:val="single" w:color="000000" w:sz="4" w:space="0"/>
              <w:left w:val="single" w:color="000000" w:sz="4" w:space="0"/>
              <w:bottom w:val="nil"/>
              <w:right w:val="single" w:color="000000" w:sz="4" w:space="0"/>
            </w:tcBorders>
            <w:shd w:val="clear" w:color="auto" w:fill="auto"/>
            <w:vAlign w:val="center"/>
          </w:tcPr>
          <w:p w14:paraId="2F98D801">
            <w:pPr>
              <w:jc w:val="center"/>
              <w:rPr>
                <w:rFonts w:hint="eastAsia" w:ascii="宋体" w:hAnsi="宋体" w:eastAsia="宋体" w:cs="宋体"/>
                <w:i w:val="0"/>
                <w:iCs w:val="0"/>
                <w:color w:val="000000"/>
                <w:sz w:val="18"/>
                <w:szCs w:val="18"/>
                <w:u w:val="none"/>
              </w:rPr>
            </w:pPr>
          </w:p>
        </w:tc>
      </w:tr>
      <w:tr w14:paraId="20135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9" w:type="pct"/>
            <w:vMerge w:val="continue"/>
            <w:tcBorders>
              <w:top w:val="single" w:color="000000" w:sz="4" w:space="0"/>
              <w:left w:val="single" w:color="000000" w:sz="4" w:space="0"/>
              <w:bottom w:val="nil"/>
              <w:right w:val="single" w:color="000000" w:sz="4" w:space="0"/>
            </w:tcBorders>
            <w:shd w:val="clear" w:color="auto" w:fill="auto"/>
            <w:vAlign w:val="center"/>
          </w:tcPr>
          <w:p w14:paraId="6D552966">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3F720A3F">
            <w:pPr>
              <w:jc w:val="center"/>
              <w:rPr>
                <w:rFonts w:hint="eastAsia" w:ascii="宋体" w:hAnsi="宋体" w:eastAsia="宋体" w:cs="宋体"/>
                <w:i w:val="0"/>
                <w:iCs w:val="0"/>
                <w:color w:val="000000"/>
                <w:sz w:val="18"/>
                <w:szCs w:val="18"/>
                <w:u w:val="none"/>
              </w:rPr>
            </w:pPr>
          </w:p>
        </w:tc>
        <w:tc>
          <w:tcPr>
            <w:tcW w:w="389" w:type="pct"/>
            <w:vMerge w:val="continue"/>
            <w:tcBorders>
              <w:top w:val="single" w:color="000000" w:sz="4" w:space="0"/>
              <w:left w:val="single" w:color="000000" w:sz="4" w:space="0"/>
              <w:bottom w:val="nil"/>
              <w:right w:val="single" w:color="000000" w:sz="4" w:space="0"/>
            </w:tcBorders>
            <w:shd w:val="clear" w:color="auto" w:fill="auto"/>
            <w:vAlign w:val="center"/>
          </w:tcPr>
          <w:p w14:paraId="01AF07E6">
            <w:pPr>
              <w:jc w:val="center"/>
              <w:rPr>
                <w:rFonts w:hint="eastAsia" w:ascii="宋体" w:hAnsi="宋体" w:eastAsia="宋体" w:cs="宋体"/>
                <w:i w:val="0"/>
                <w:iCs w:val="0"/>
                <w:color w:val="000000"/>
                <w:sz w:val="18"/>
                <w:szCs w:val="18"/>
                <w:u w:val="none"/>
              </w:rPr>
            </w:pPr>
          </w:p>
        </w:tc>
        <w:tc>
          <w:tcPr>
            <w:tcW w:w="357" w:type="pct"/>
            <w:tcBorders>
              <w:top w:val="single" w:color="000000" w:sz="4" w:space="0"/>
              <w:left w:val="single" w:color="000000" w:sz="4" w:space="0"/>
              <w:bottom w:val="nil"/>
              <w:right w:val="single" w:color="000000" w:sz="4" w:space="0"/>
            </w:tcBorders>
            <w:shd w:val="clear" w:color="auto" w:fill="auto"/>
            <w:vAlign w:val="center"/>
          </w:tcPr>
          <w:p w14:paraId="0972EC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驻村干部通信补助标准</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5844A9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360" w:type="pct"/>
            <w:tcBorders>
              <w:top w:val="single" w:color="000000" w:sz="4" w:space="0"/>
              <w:left w:val="single" w:color="000000" w:sz="4" w:space="0"/>
              <w:bottom w:val="nil"/>
              <w:right w:val="single" w:color="000000" w:sz="4" w:space="0"/>
            </w:tcBorders>
            <w:shd w:val="clear" w:color="auto" w:fill="auto"/>
            <w:vAlign w:val="center"/>
          </w:tcPr>
          <w:p w14:paraId="27B6C0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358" w:type="pct"/>
            <w:tcBorders>
              <w:top w:val="single" w:color="000000" w:sz="4" w:space="0"/>
              <w:left w:val="single" w:color="000000" w:sz="4" w:space="0"/>
              <w:bottom w:val="nil"/>
              <w:right w:val="single" w:color="000000" w:sz="4" w:space="0"/>
            </w:tcBorders>
            <w:shd w:val="clear" w:color="auto" w:fill="auto"/>
            <w:vAlign w:val="center"/>
          </w:tcPr>
          <w:p w14:paraId="31C894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45ED81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360" w:type="pct"/>
            <w:tcBorders>
              <w:top w:val="single" w:color="000000" w:sz="4" w:space="0"/>
              <w:left w:val="single" w:color="000000" w:sz="4" w:space="0"/>
              <w:bottom w:val="nil"/>
              <w:right w:val="single" w:color="000000" w:sz="4" w:space="0"/>
            </w:tcBorders>
            <w:shd w:val="clear" w:color="auto" w:fill="auto"/>
            <w:vAlign w:val="center"/>
          </w:tcPr>
          <w:p w14:paraId="226F64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元/月</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7A969E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32C49E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83" w:type="pct"/>
            <w:tcBorders>
              <w:top w:val="single" w:color="000000" w:sz="4" w:space="0"/>
              <w:left w:val="single" w:color="000000" w:sz="4" w:space="0"/>
              <w:bottom w:val="nil"/>
              <w:right w:val="single" w:color="000000" w:sz="4" w:space="0"/>
            </w:tcBorders>
            <w:shd w:val="clear" w:color="auto" w:fill="auto"/>
            <w:vAlign w:val="center"/>
          </w:tcPr>
          <w:p w14:paraId="3797CFE4">
            <w:pPr>
              <w:jc w:val="center"/>
              <w:rPr>
                <w:rFonts w:hint="eastAsia" w:ascii="宋体" w:hAnsi="宋体" w:eastAsia="宋体" w:cs="宋体"/>
                <w:i w:val="0"/>
                <w:iCs w:val="0"/>
                <w:color w:val="000000"/>
                <w:sz w:val="18"/>
                <w:szCs w:val="18"/>
                <w:u w:val="none"/>
              </w:rPr>
            </w:pPr>
          </w:p>
        </w:tc>
      </w:tr>
      <w:tr w14:paraId="169D7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9" w:type="pct"/>
            <w:vMerge w:val="continue"/>
            <w:tcBorders>
              <w:top w:val="single" w:color="000000" w:sz="4" w:space="0"/>
              <w:left w:val="single" w:color="000000" w:sz="4" w:space="0"/>
              <w:bottom w:val="nil"/>
              <w:right w:val="single" w:color="000000" w:sz="4" w:space="0"/>
            </w:tcBorders>
            <w:shd w:val="clear" w:color="auto" w:fill="auto"/>
            <w:vAlign w:val="center"/>
          </w:tcPr>
          <w:p w14:paraId="6DFE854D">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3588FCFB">
            <w:pPr>
              <w:jc w:val="center"/>
              <w:rPr>
                <w:rFonts w:hint="eastAsia" w:ascii="宋体" w:hAnsi="宋体" w:eastAsia="宋体" w:cs="宋体"/>
                <w:i w:val="0"/>
                <w:iCs w:val="0"/>
                <w:color w:val="000000"/>
                <w:sz w:val="18"/>
                <w:szCs w:val="18"/>
                <w:u w:val="none"/>
              </w:rPr>
            </w:pPr>
          </w:p>
        </w:tc>
        <w:tc>
          <w:tcPr>
            <w:tcW w:w="389" w:type="pct"/>
            <w:vMerge w:val="continue"/>
            <w:tcBorders>
              <w:top w:val="single" w:color="000000" w:sz="4" w:space="0"/>
              <w:left w:val="single" w:color="000000" w:sz="4" w:space="0"/>
              <w:bottom w:val="nil"/>
              <w:right w:val="single" w:color="000000" w:sz="4" w:space="0"/>
            </w:tcBorders>
            <w:shd w:val="clear" w:color="auto" w:fill="auto"/>
            <w:vAlign w:val="center"/>
          </w:tcPr>
          <w:p w14:paraId="0C26263F">
            <w:pPr>
              <w:jc w:val="center"/>
              <w:rPr>
                <w:rFonts w:hint="eastAsia" w:ascii="宋体" w:hAnsi="宋体" w:eastAsia="宋体" w:cs="宋体"/>
                <w:i w:val="0"/>
                <w:iCs w:val="0"/>
                <w:color w:val="000000"/>
                <w:sz w:val="18"/>
                <w:szCs w:val="18"/>
                <w:u w:val="none"/>
              </w:rPr>
            </w:pPr>
          </w:p>
        </w:tc>
        <w:tc>
          <w:tcPr>
            <w:tcW w:w="357" w:type="pct"/>
            <w:tcBorders>
              <w:top w:val="single" w:color="000000" w:sz="4" w:space="0"/>
              <w:left w:val="single" w:color="000000" w:sz="4" w:space="0"/>
              <w:bottom w:val="nil"/>
              <w:right w:val="single" w:color="000000" w:sz="4" w:space="0"/>
            </w:tcBorders>
            <w:shd w:val="clear" w:color="auto" w:fill="auto"/>
            <w:vAlign w:val="center"/>
          </w:tcPr>
          <w:p w14:paraId="28215D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驻村干部艰苦边远地区津贴补差标准</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124FB3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360" w:type="pct"/>
            <w:tcBorders>
              <w:top w:val="single" w:color="000000" w:sz="4" w:space="0"/>
              <w:left w:val="single" w:color="000000" w:sz="4" w:space="0"/>
              <w:bottom w:val="nil"/>
              <w:right w:val="single" w:color="000000" w:sz="4" w:space="0"/>
            </w:tcBorders>
            <w:shd w:val="clear" w:color="auto" w:fill="auto"/>
            <w:vAlign w:val="center"/>
          </w:tcPr>
          <w:p w14:paraId="100DFC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358" w:type="pct"/>
            <w:tcBorders>
              <w:top w:val="single" w:color="000000" w:sz="4" w:space="0"/>
              <w:left w:val="single" w:color="000000" w:sz="4" w:space="0"/>
              <w:bottom w:val="nil"/>
              <w:right w:val="single" w:color="000000" w:sz="4" w:space="0"/>
            </w:tcBorders>
            <w:shd w:val="clear" w:color="auto" w:fill="auto"/>
            <w:vAlign w:val="center"/>
          </w:tcPr>
          <w:p w14:paraId="626CC7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749F76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w:t>
            </w:r>
          </w:p>
        </w:tc>
        <w:tc>
          <w:tcPr>
            <w:tcW w:w="360" w:type="pct"/>
            <w:tcBorders>
              <w:top w:val="single" w:color="000000" w:sz="4" w:space="0"/>
              <w:left w:val="single" w:color="000000" w:sz="4" w:space="0"/>
              <w:bottom w:val="nil"/>
              <w:right w:val="single" w:color="000000" w:sz="4" w:space="0"/>
            </w:tcBorders>
            <w:shd w:val="clear" w:color="auto" w:fill="auto"/>
            <w:vAlign w:val="center"/>
          </w:tcPr>
          <w:p w14:paraId="5FA05E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元/月</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07C423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62C878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83" w:type="pct"/>
            <w:tcBorders>
              <w:top w:val="single" w:color="000000" w:sz="4" w:space="0"/>
              <w:left w:val="single" w:color="000000" w:sz="4" w:space="0"/>
              <w:bottom w:val="nil"/>
              <w:right w:val="single" w:color="000000" w:sz="4" w:space="0"/>
            </w:tcBorders>
            <w:shd w:val="clear" w:color="auto" w:fill="auto"/>
            <w:vAlign w:val="center"/>
          </w:tcPr>
          <w:p w14:paraId="2760C469">
            <w:pPr>
              <w:jc w:val="center"/>
              <w:rPr>
                <w:rFonts w:hint="eastAsia" w:ascii="宋体" w:hAnsi="宋体" w:eastAsia="宋体" w:cs="宋体"/>
                <w:i w:val="0"/>
                <w:iCs w:val="0"/>
                <w:color w:val="000000"/>
                <w:sz w:val="18"/>
                <w:szCs w:val="18"/>
                <w:u w:val="none"/>
              </w:rPr>
            </w:pPr>
          </w:p>
        </w:tc>
      </w:tr>
      <w:tr w14:paraId="15D0F2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9" w:type="pct"/>
            <w:vMerge w:val="continue"/>
            <w:tcBorders>
              <w:top w:val="single" w:color="000000" w:sz="4" w:space="0"/>
              <w:left w:val="single" w:color="000000" w:sz="4" w:space="0"/>
              <w:bottom w:val="nil"/>
              <w:right w:val="single" w:color="000000" w:sz="4" w:space="0"/>
            </w:tcBorders>
            <w:shd w:val="clear" w:color="auto" w:fill="auto"/>
            <w:vAlign w:val="center"/>
          </w:tcPr>
          <w:p w14:paraId="2C47D781">
            <w:pPr>
              <w:jc w:val="center"/>
              <w:rPr>
                <w:rFonts w:hint="eastAsia" w:ascii="宋体" w:hAnsi="宋体" w:eastAsia="宋体" w:cs="宋体"/>
                <w:i w:val="0"/>
                <w:iCs w:val="0"/>
                <w:color w:val="000000"/>
                <w:sz w:val="18"/>
                <w:szCs w:val="18"/>
                <w:u w:val="none"/>
              </w:rPr>
            </w:pPr>
          </w:p>
        </w:tc>
        <w:tc>
          <w:tcPr>
            <w:tcW w:w="390" w:type="pct"/>
            <w:vMerge w:val="restart"/>
            <w:tcBorders>
              <w:top w:val="single" w:color="000000" w:sz="4" w:space="0"/>
              <w:left w:val="single" w:color="000000" w:sz="4" w:space="0"/>
              <w:bottom w:val="nil"/>
              <w:right w:val="single" w:color="000000" w:sz="4" w:space="0"/>
            </w:tcBorders>
            <w:shd w:val="clear" w:color="auto" w:fill="auto"/>
            <w:vAlign w:val="center"/>
          </w:tcPr>
          <w:p w14:paraId="7021AE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389" w:type="pct"/>
            <w:tcBorders>
              <w:top w:val="single" w:color="000000" w:sz="4" w:space="0"/>
              <w:left w:val="single" w:color="000000" w:sz="4" w:space="0"/>
              <w:bottom w:val="nil"/>
              <w:right w:val="single" w:color="000000" w:sz="4" w:space="0"/>
            </w:tcBorders>
            <w:shd w:val="clear" w:color="auto" w:fill="auto"/>
            <w:vAlign w:val="center"/>
          </w:tcPr>
          <w:p w14:paraId="15FDE5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65F92E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巩固贫困攻坚站防止返贫</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7069FB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60" w:type="pct"/>
            <w:tcBorders>
              <w:top w:val="single" w:color="000000" w:sz="4" w:space="0"/>
              <w:left w:val="single" w:color="000000" w:sz="4" w:space="0"/>
              <w:bottom w:val="nil"/>
              <w:right w:val="single" w:color="000000" w:sz="4" w:space="0"/>
            </w:tcBorders>
            <w:shd w:val="clear" w:color="auto" w:fill="auto"/>
            <w:vAlign w:val="center"/>
          </w:tcPr>
          <w:p w14:paraId="30FBBB8E">
            <w:pPr>
              <w:jc w:val="center"/>
              <w:rPr>
                <w:rFonts w:hint="eastAsia" w:ascii="宋体" w:hAnsi="宋体" w:eastAsia="宋体" w:cs="宋体"/>
                <w:i w:val="0"/>
                <w:iCs w:val="0"/>
                <w:color w:val="000000"/>
                <w:sz w:val="18"/>
                <w:szCs w:val="18"/>
                <w:u w:val="none"/>
              </w:rPr>
            </w:pPr>
          </w:p>
        </w:tc>
        <w:tc>
          <w:tcPr>
            <w:tcW w:w="358" w:type="pct"/>
            <w:tcBorders>
              <w:top w:val="single" w:color="000000" w:sz="4" w:space="0"/>
              <w:left w:val="single" w:color="000000" w:sz="4" w:space="0"/>
              <w:bottom w:val="nil"/>
              <w:right w:val="single" w:color="000000" w:sz="4" w:space="0"/>
            </w:tcBorders>
            <w:shd w:val="clear" w:color="auto" w:fill="auto"/>
            <w:vAlign w:val="center"/>
          </w:tcPr>
          <w:p w14:paraId="74944F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5D6B4B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60" w:type="pct"/>
            <w:tcBorders>
              <w:top w:val="single" w:color="000000" w:sz="4" w:space="0"/>
              <w:left w:val="single" w:color="000000" w:sz="4" w:space="0"/>
              <w:bottom w:val="nil"/>
              <w:right w:val="single" w:color="000000" w:sz="4" w:space="0"/>
            </w:tcBorders>
            <w:shd w:val="clear" w:color="auto" w:fill="auto"/>
            <w:vAlign w:val="center"/>
          </w:tcPr>
          <w:p w14:paraId="070D439A">
            <w:pPr>
              <w:jc w:val="center"/>
              <w:rPr>
                <w:rFonts w:hint="eastAsia" w:ascii="宋体" w:hAnsi="宋体" w:eastAsia="宋体" w:cs="宋体"/>
                <w:i w:val="0"/>
                <w:iCs w:val="0"/>
                <w:color w:val="000000"/>
                <w:sz w:val="18"/>
                <w:szCs w:val="18"/>
                <w:u w:val="none"/>
              </w:rPr>
            </w:pPr>
          </w:p>
        </w:tc>
        <w:tc>
          <w:tcPr>
            <w:tcW w:w="536" w:type="pct"/>
            <w:tcBorders>
              <w:top w:val="single" w:color="000000" w:sz="4" w:space="0"/>
              <w:left w:val="single" w:color="000000" w:sz="4" w:space="0"/>
              <w:bottom w:val="nil"/>
              <w:right w:val="single" w:color="000000" w:sz="4" w:space="0"/>
            </w:tcBorders>
            <w:shd w:val="clear" w:color="auto" w:fill="auto"/>
            <w:vAlign w:val="center"/>
          </w:tcPr>
          <w:p w14:paraId="0F8C07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658AFF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83" w:type="pct"/>
            <w:tcBorders>
              <w:top w:val="single" w:color="000000" w:sz="4" w:space="0"/>
              <w:left w:val="single" w:color="000000" w:sz="4" w:space="0"/>
              <w:bottom w:val="nil"/>
              <w:right w:val="single" w:color="000000" w:sz="4" w:space="0"/>
            </w:tcBorders>
            <w:shd w:val="clear" w:color="auto" w:fill="auto"/>
            <w:vAlign w:val="center"/>
          </w:tcPr>
          <w:p w14:paraId="2968A496">
            <w:pPr>
              <w:jc w:val="center"/>
              <w:rPr>
                <w:rFonts w:hint="eastAsia" w:ascii="宋体" w:hAnsi="宋体" w:eastAsia="宋体" w:cs="宋体"/>
                <w:i w:val="0"/>
                <w:iCs w:val="0"/>
                <w:color w:val="000000"/>
                <w:sz w:val="18"/>
                <w:szCs w:val="18"/>
                <w:u w:val="none"/>
              </w:rPr>
            </w:pPr>
          </w:p>
        </w:tc>
      </w:tr>
      <w:tr w14:paraId="5D8A7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9" w:type="pct"/>
            <w:vMerge w:val="continue"/>
            <w:tcBorders>
              <w:top w:val="single" w:color="000000" w:sz="4" w:space="0"/>
              <w:left w:val="single" w:color="000000" w:sz="4" w:space="0"/>
              <w:bottom w:val="nil"/>
              <w:right w:val="single" w:color="000000" w:sz="4" w:space="0"/>
            </w:tcBorders>
            <w:shd w:val="clear" w:color="auto" w:fill="auto"/>
            <w:vAlign w:val="center"/>
          </w:tcPr>
          <w:p w14:paraId="351F7AF9">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4BE80615">
            <w:pPr>
              <w:jc w:val="center"/>
              <w:rPr>
                <w:rFonts w:hint="eastAsia" w:ascii="宋体" w:hAnsi="宋体" w:eastAsia="宋体" w:cs="宋体"/>
                <w:i w:val="0"/>
                <w:iCs w:val="0"/>
                <w:color w:val="000000"/>
                <w:sz w:val="18"/>
                <w:szCs w:val="18"/>
                <w:u w:val="none"/>
              </w:rPr>
            </w:pPr>
          </w:p>
        </w:tc>
        <w:tc>
          <w:tcPr>
            <w:tcW w:w="389" w:type="pct"/>
            <w:tcBorders>
              <w:top w:val="single" w:color="000000" w:sz="4" w:space="0"/>
              <w:left w:val="single" w:color="000000" w:sz="4" w:space="0"/>
              <w:bottom w:val="nil"/>
              <w:right w:val="single" w:color="000000" w:sz="4" w:space="0"/>
            </w:tcBorders>
            <w:shd w:val="clear" w:color="auto" w:fill="auto"/>
            <w:vAlign w:val="center"/>
          </w:tcPr>
          <w:p w14:paraId="0EA16B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204C17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提高基层内控建设</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397757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60" w:type="pct"/>
            <w:tcBorders>
              <w:top w:val="single" w:color="000000" w:sz="4" w:space="0"/>
              <w:left w:val="single" w:color="000000" w:sz="4" w:space="0"/>
              <w:bottom w:val="nil"/>
              <w:right w:val="single" w:color="000000" w:sz="4" w:space="0"/>
            </w:tcBorders>
            <w:shd w:val="clear" w:color="auto" w:fill="auto"/>
            <w:vAlign w:val="center"/>
          </w:tcPr>
          <w:p w14:paraId="2146997D">
            <w:pPr>
              <w:jc w:val="center"/>
              <w:rPr>
                <w:rFonts w:hint="eastAsia" w:ascii="宋体" w:hAnsi="宋体" w:eastAsia="宋体" w:cs="宋体"/>
                <w:i w:val="0"/>
                <w:iCs w:val="0"/>
                <w:color w:val="000000"/>
                <w:sz w:val="18"/>
                <w:szCs w:val="18"/>
                <w:u w:val="none"/>
              </w:rPr>
            </w:pPr>
          </w:p>
        </w:tc>
        <w:tc>
          <w:tcPr>
            <w:tcW w:w="358" w:type="pct"/>
            <w:tcBorders>
              <w:top w:val="single" w:color="000000" w:sz="4" w:space="0"/>
              <w:left w:val="single" w:color="000000" w:sz="4" w:space="0"/>
              <w:bottom w:val="nil"/>
              <w:right w:val="single" w:color="000000" w:sz="4" w:space="0"/>
            </w:tcBorders>
            <w:shd w:val="clear" w:color="auto" w:fill="auto"/>
            <w:vAlign w:val="center"/>
          </w:tcPr>
          <w:p w14:paraId="2B5587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231FFC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60" w:type="pct"/>
            <w:tcBorders>
              <w:top w:val="single" w:color="000000" w:sz="4" w:space="0"/>
              <w:left w:val="single" w:color="000000" w:sz="4" w:space="0"/>
              <w:bottom w:val="nil"/>
              <w:right w:val="single" w:color="000000" w:sz="4" w:space="0"/>
            </w:tcBorders>
            <w:shd w:val="clear" w:color="auto" w:fill="auto"/>
            <w:vAlign w:val="center"/>
          </w:tcPr>
          <w:p w14:paraId="5F32C9EF">
            <w:pPr>
              <w:jc w:val="center"/>
              <w:rPr>
                <w:rFonts w:hint="eastAsia" w:ascii="宋体" w:hAnsi="宋体" w:eastAsia="宋体" w:cs="宋体"/>
                <w:i w:val="0"/>
                <w:iCs w:val="0"/>
                <w:color w:val="000000"/>
                <w:sz w:val="18"/>
                <w:szCs w:val="18"/>
                <w:u w:val="none"/>
              </w:rPr>
            </w:pPr>
          </w:p>
        </w:tc>
        <w:tc>
          <w:tcPr>
            <w:tcW w:w="536" w:type="pct"/>
            <w:tcBorders>
              <w:top w:val="single" w:color="000000" w:sz="4" w:space="0"/>
              <w:left w:val="single" w:color="000000" w:sz="4" w:space="0"/>
              <w:bottom w:val="nil"/>
              <w:right w:val="single" w:color="000000" w:sz="4" w:space="0"/>
            </w:tcBorders>
            <w:shd w:val="clear" w:color="auto" w:fill="auto"/>
            <w:vAlign w:val="center"/>
          </w:tcPr>
          <w:p w14:paraId="177022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1A9FD3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83" w:type="pct"/>
            <w:tcBorders>
              <w:top w:val="single" w:color="000000" w:sz="4" w:space="0"/>
              <w:left w:val="single" w:color="000000" w:sz="4" w:space="0"/>
              <w:bottom w:val="nil"/>
              <w:right w:val="single" w:color="000000" w:sz="4" w:space="0"/>
            </w:tcBorders>
            <w:shd w:val="clear" w:color="auto" w:fill="auto"/>
            <w:vAlign w:val="center"/>
          </w:tcPr>
          <w:p w14:paraId="4C45A6F1">
            <w:pPr>
              <w:jc w:val="center"/>
              <w:rPr>
                <w:rFonts w:hint="eastAsia" w:ascii="宋体" w:hAnsi="宋体" w:eastAsia="宋体" w:cs="宋体"/>
                <w:i w:val="0"/>
                <w:iCs w:val="0"/>
                <w:color w:val="000000"/>
                <w:sz w:val="18"/>
                <w:szCs w:val="18"/>
                <w:u w:val="none"/>
              </w:rPr>
            </w:pPr>
          </w:p>
        </w:tc>
      </w:tr>
      <w:tr w14:paraId="5D283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9" w:type="pct"/>
            <w:vMerge w:val="continue"/>
            <w:tcBorders>
              <w:top w:val="single" w:color="000000" w:sz="4" w:space="0"/>
              <w:left w:val="single" w:color="000000" w:sz="4" w:space="0"/>
              <w:bottom w:val="nil"/>
              <w:right w:val="single" w:color="000000" w:sz="4" w:space="0"/>
            </w:tcBorders>
            <w:shd w:val="clear" w:color="auto" w:fill="auto"/>
            <w:vAlign w:val="center"/>
          </w:tcPr>
          <w:p w14:paraId="75B0EEC8">
            <w:pPr>
              <w:jc w:val="center"/>
              <w:rPr>
                <w:rFonts w:hint="eastAsia" w:ascii="宋体" w:hAnsi="宋体" w:eastAsia="宋体" w:cs="宋体"/>
                <w:i w:val="0"/>
                <w:iCs w:val="0"/>
                <w:color w:val="000000"/>
                <w:sz w:val="18"/>
                <w:szCs w:val="18"/>
                <w:u w:val="none"/>
              </w:rPr>
            </w:pPr>
          </w:p>
        </w:tc>
        <w:tc>
          <w:tcPr>
            <w:tcW w:w="390" w:type="pct"/>
            <w:tcBorders>
              <w:top w:val="single" w:color="000000" w:sz="4" w:space="0"/>
              <w:left w:val="single" w:color="000000" w:sz="4" w:space="0"/>
              <w:bottom w:val="nil"/>
              <w:right w:val="single" w:color="000000" w:sz="4" w:space="0"/>
            </w:tcBorders>
            <w:shd w:val="clear" w:color="auto" w:fill="auto"/>
            <w:vAlign w:val="center"/>
          </w:tcPr>
          <w:p w14:paraId="41FD62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389" w:type="pct"/>
            <w:tcBorders>
              <w:top w:val="single" w:color="000000" w:sz="4" w:space="0"/>
              <w:left w:val="single" w:color="000000" w:sz="4" w:space="0"/>
              <w:bottom w:val="nil"/>
              <w:right w:val="single" w:color="000000" w:sz="4" w:space="0"/>
            </w:tcBorders>
            <w:shd w:val="clear" w:color="auto" w:fill="auto"/>
            <w:vAlign w:val="center"/>
          </w:tcPr>
          <w:p w14:paraId="6851CA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1B3D92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受益对象满意度</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7E712D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0" w:type="pct"/>
            <w:tcBorders>
              <w:top w:val="single" w:color="000000" w:sz="4" w:space="0"/>
              <w:left w:val="single" w:color="000000" w:sz="4" w:space="0"/>
              <w:bottom w:val="nil"/>
              <w:right w:val="single" w:color="000000" w:sz="4" w:space="0"/>
            </w:tcBorders>
            <w:shd w:val="clear" w:color="auto" w:fill="auto"/>
            <w:vAlign w:val="center"/>
          </w:tcPr>
          <w:p w14:paraId="06F373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358" w:type="pct"/>
            <w:tcBorders>
              <w:top w:val="single" w:color="000000" w:sz="4" w:space="0"/>
              <w:left w:val="single" w:color="000000" w:sz="4" w:space="0"/>
              <w:bottom w:val="nil"/>
              <w:right w:val="single" w:color="000000" w:sz="4" w:space="0"/>
            </w:tcBorders>
            <w:shd w:val="clear" w:color="auto" w:fill="auto"/>
            <w:vAlign w:val="center"/>
          </w:tcPr>
          <w:p w14:paraId="278178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0FEA6B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360" w:type="pct"/>
            <w:tcBorders>
              <w:top w:val="single" w:color="000000" w:sz="4" w:space="0"/>
              <w:left w:val="single" w:color="000000" w:sz="4" w:space="0"/>
              <w:bottom w:val="nil"/>
              <w:right w:val="single" w:color="000000" w:sz="4" w:space="0"/>
            </w:tcBorders>
            <w:shd w:val="clear" w:color="auto" w:fill="auto"/>
            <w:vAlign w:val="center"/>
          </w:tcPr>
          <w:p w14:paraId="1E0E2A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58F264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57B924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83" w:type="pct"/>
            <w:tcBorders>
              <w:top w:val="single" w:color="000000" w:sz="4" w:space="0"/>
              <w:left w:val="single" w:color="000000" w:sz="4" w:space="0"/>
              <w:bottom w:val="nil"/>
              <w:right w:val="single" w:color="000000" w:sz="4" w:space="0"/>
            </w:tcBorders>
            <w:shd w:val="clear" w:color="auto" w:fill="auto"/>
            <w:vAlign w:val="center"/>
          </w:tcPr>
          <w:p w14:paraId="4D5F863C">
            <w:pPr>
              <w:jc w:val="center"/>
              <w:rPr>
                <w:rFonts w:hint="eastAsia" w:ascii="宋体" w:hAnsi="宋体" w:eastAsia="宋体" w:cs="宋体"/>
                <w:i w:val="0"/>
                <w:iCs w:val="0"/>
                <w:color w:val="000000"/>
                <w:sz w:val="18"/>
                <w:szCs w:val="18"/>
                <w:u w:val="none"/>
              </w:rPr>
            </w:pPr>
          </w:p>
        </w:tc>
      </w:tr>
      <w:tr w14:paraId="592F2F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324"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212DCC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A1BF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4D06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64A37E">
            <w:pPr>
              <w:jc w:val="center"/>
              <w:rPr>
                <w:rFonts w:hint="eastAsia" w:ascii="宋体" w:hAnsi="宋体" w:eastAsia="宋体" w:cs="宋体"/>
                <w:i w:val="0"/>
                <w:iCs w:val="0"/>
                <w:color w:val="000000"/>
                <w:sz w:val="18"/>
                <w:szCs w:val="18"/>
                <w:u w:val="none"/>
              </w:rPr>
            </w:pPr>
          </w:p>
        </w:tc>
      </w:tr>
      <w:tr w14:paraId="32965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89" w:type="pct"/>
            <w:tcBorders>
              <w:top w:val="nil"/>
              <w:left w:val="nil"/>
              <w:bottom w:val="nil"/>
              <w:right w:val="nil"/>
            </w:tcBorders>
            <w:shd w:val="clear" w:color="auto" w:fill="auto"/>
            <w:noWrap/>
            <w:vAlign w:val="center"/>
          </w:tcPr>
          <w:p w14:paraId="3C232FE4">
            <w:pPr>
              <w:rPr>
                <w:rFonts w:hint="eastAsia" w:ascii="宋体" w:hAnsi="宋体" w:eastAsia="宋体" w:cs="宋体"/>
                <w:i w:val="0"/>
                <w:iCs w:val="0"/>
                <w:color w:val="000000"/>
                <w:sz w:val="22"/>
                <w:szCs w:val="22"/>
                <w:u w:val="none"/>
              </w:rPr>
            </w:pPr>
          </w:p>
        </w:tc>
        <w:tc>
          <w:tcPr>
            <w:tcW w:w="390" w:type="pct"/>
            <w:tcBorders>
              <w:top w:val="nil"/>
              <w:left w:val="nil"/>
              <w:bottom w:val="nil"/>
              <w:right w:val="nil"/>
            </w:tcBorders>
            <w:shd w:val="clear" w:color="auto" w:fill="auto"/>
            <w:noWrap/>
            <w:vAlign w:val="center"/>
          </w:tcPr>
          <w:p w14:paraId="33DB9802">
            <w:pPr>
              <w:rPr>
                <w:rFonts w:hint="eastAsia" w:ascii="宋体" w:hAnsi="宋体" w:eastAsia="宋体" w:cs="宋体"/>
                <w:i w:val="0"/>
                <w:iCs w:val="0"/>
                <w:color w:val="000000"/>
                <w:sz w:val="22"/>
                <w:szCs w:val="22"/>
                <w:u w:val="none"/>
              </w:rPr>
            </w:pPr>
          </w:p>
        </w:tc>
        <w:tc>
          <w:tcPr>
            <w:tcW w:w="389" w:type="pct"/>
            <w:tcBorders>
              <w:top w:val="nil"/>
              <w:left w:val="nil"/>
              <w:bottom w:val="nil"/>
              <w:right w:val="nil"/>
            </w:tcBorders>
            <w:shd w:val="clear" w:color="auto" w:fill="auto"/>
            <w:noWrap/>
            <w:vAlign w:val="center"/>
          </w:tcPr>
          <w:p w14:paraId="070388D4">
            <w:pPr>
              <w:rPr>
                <w:rFonts w:hint="eastAsia" w:ascii="宋体" w:hAnsi="宋体" w:eastAsia="宋体" w:cs="宋体"/>
                <w:i w:val="0"/>
                <w:iCs w:val="0"/>
                <w:color w:val="000000"/>
                <w:sz w:val="22"/>
                <w:szCs w:val="22"/>
                <w:u w:val="none"/>
              </w:rPr>
            </w:pPr>
          </w:p>
        </w:tc>
        <w:tc>
          <w:tcPr>
            <w:tcW w:w="357" w:type="pct"/>
            <w:tcBorders>
              <w:top w:val="nil"/>
              <w:left w:val="nil"/>
              <w:bottom w:val="nil"/>
              <w:right w:val="nil"/>
            </w:tcBorders>
            <w:shd w:val="clear" w:color="auto" w:fill="auto"/>
            <w:noWrap/>
            <w:vAlign w:val="center"/>
          </w:tcPr>
          <w:p w14:paraId="1B01681A">
            <w:pPr>
              <w:rPr>
                <w:rFonts w:hint="eastAsia" w:ascii="宋体" w:hAnsi="宋体" w:eastAsia="宋体" w:cs="宋体"/>
                <w:i w:val="0"/>
                <w:iCs w:val="0"/>
                <w:color w:val="000000"/>
                <w:sz w:val="22"/>
                <w:szCs w:val="22"/>
                <w:u w:val="none"/>
              </w:rPr>
            </w:pPr>
          </w:p>
        </w:tc>
        <w:tc>
          <w:tcPr>
            <w:tcW w:w="357" w:type="pct"/>
            <w:tcBorders>
              <w:top w:val="nil"/>
              <w:left w:val="nil"/>
              <w:bottom w:val="nil"/>
              <w:right w:val="nil"/>
            </w:tcBorders>
            <w:shd w:val="clear" w:color="auto" w:fill="auto"/>
            <w:noWrap/>
            <w:vAlign w:val="center"/>
          </w:tcPr>
          <w:p w14:paraId="1ED656A8">
            <w:pPr>
              <w:rPr>
                <w:rFonts w:hint="eastAsia" w:ascii="宋体" w:hAnsi="宋体" w:eastAsia="宋体" w:cs="宋体"/>
                <w:i w:val="0"/>
                <w:iCs w:val="0"/>
                <w:color w:val="000000"/>
                <w:sz w:val="22"/>
                <w:szCs w:val="22"/>
                <w:u w:val="none"/>
              </w:rPr>
            </w:pPr>
          </w:p>
        </w:tc>
        <w:tc>
          <w:tcPr>
            <w:tcW w:w="360" w:type="pct"/>
            <w:tcBorders>
              <w:top w:val="nil"/>
              <w:left w:val="nil"/>
              <w:bottom w:val="nil"/>
              <w:right w:val="nil"/>
            </w:tcBorders>
            <w:shd w:val="clear" w:color="auto" w:fill="auto"/>
            <w:noWrap/>
            <w:vAlign w:val="center"/>
          </w:tcPr>
          <w:p w14:paraId="09F5B9ED">
            <w:pPr>
              <w:rPr>
                <w:rFonts w:hint="eastAsia" w:ascii="宋体" w:hAnsi="宋体" w:eastAsia="宋体" w:cs="宋体"/>
                <w:i w:val="0"/>
                <w:iCs w:val="0"/>
                <w:color w:val="000000"/>
                <w:sz w:val="22"/>
                <w:szCs w:val="22"/>
                <w:u w:val="none"/>
              </w:rPr>
            </w:pPr>
          </w:p>
        </w:tc>
        <w:tc>
          <w:tcPr>
            <w:tcW w:w="358" w:type="pct"/>
            <w:tcBorders>
              <w:top w:val="nil"/>
              <w:left w:val="nil"/>
              <w:bottom w:val="nil"/>
              <w:right w:val="nil"/>
            </w:tcBorders>
            <w:shd w:val="clear" w:color="auto" w:fill="auto"/>
            <w:noWrap/>
            <w:vAlign w:val="center"/>
          </w:tcPr>
          <w:p w14:paraId="52AE57CD">
            <w:pPr>
              <w:rPr>
                <w:rFonts w:hint="eastAsia" w:ascii="宋体" w:hAnsi="宋体" w:eastAsia="宋体" w:cs="宋体"/>
                <w:i w:val="0"/>
                <w:iCs w:val="0"/>
                <w:color w:val="000000"/>
                <w:sz w:val="22"/>
                <w:szCs w:val="22"/>
                <w:u w:val="none"/>
              </w:rPr>
            </w:pPr>
          </w:p>
        </w:tc>
        <w:tc>
          <w:tcPr>
            <w:tcW w:w="2394" w:type="pct"/>
            <w:gridSpan w:val="5"/>
            <w:tcBorders>
              <w:top w:val="nil"/>
              <w:left w:val="nil"/>
              <w:bottom w:val="nil"/>
              <w:right w:val="nil"/>
            </w:tcBorders>
            <w:shd w:val="clear" w:color="auto" w:fill="auto"/>
            <w:noWrap/>
            <w:vAlign w:val="center"/>
          </w:tcPr>
          <w:p w14:paraId="536DB7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(盖章)</w:t>
            </w:r>
          </w:p>
        </w:tc>
      </w:tr>
    </w:tbl>
    <w:p w14:paraId="29BF538E">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 w:hAnsi="仿宋" w:eastAsia="仿宋" w:cs="仿宋"/>
          <w:sz w:val="32"/>
          <w:szCs w:val="32"/>
        </w:rPr>
      </w:pP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59"/>
        <w:gridCol w:w="666"/>
        <w:gridCol w:w="660"/>
        <w:gridCol w:w="607"/>
        <w:gridCol w:w="607"/>
        <w:gridCol w:w="624"/>
        <w:gridCol w:w="608"/>
        <w:gridCol w:w="612"/>
        <w:gridCol w:w="632"/>
        <w:gridCol w:w="914"/>
        <w:gridCol w:w="946"/>
        <w:gridCol w:w="987"/>
      </w:tblGrid>
      <w:tr w14:paraId="04A37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500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B8A52E5">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项目支出绩效自评表</w:t>
            </w:r>
            <w:r>
              <w:rPr>
                <w:rFonts w:hint="eastAsia" w:ascii="宋体" w:hAnsi="宋体" w:eastAsia="宋体" w:cs="宋体"/>
                <w:b/>
                <w:bCs/>
                <w:i w:val="0"/>
                <w:iCs w:val="0"/>
                <w:color w:val="000000"/>
                <w:kern w:val="0"/>
                <w:sz w:val="40"/>
                <w:szCs w:val="40"/>
                <w:u w:val="none"/>
                <w:lang w:val="en-US" w:eastAsia="zh-CN" w:bidi="ar"/>
              </w:rPr>
              <w:br w:type="textWrapping"/>
            </w:r>
            <w:r>
              <w:rPr>
                <w:rFonts w:hint="eastAsia" w:ascii="宋体" w:hAnsi="宋体" w:eastAsia="宋体" w:cs="宋体"/>
                <w:b/>
                <w:bCs/>
                <w:i w:val="0"/>
                <w:iCs w:val="0"/>
                <w:color w:val="000000"/>
                <w:kern w:val="0"/>
                <w:sz w:val="40"/>
                <w:szCs w:val="40"/>
                <w:u w:val="none"/>
                <w:lang w:val="en-US" w:eastAsia="zh-CN" w:bidi="ar"/>
              </w:rPr>
              <w:t>(2023年度）</w:t>
            </w:r>
          </w:p>
        </w:tc>
      </w:tr>
      <w:tr w14:paraId="3CD57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7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67F2F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4221"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18C2E07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残疾人保障金</w:t>
            </w:r>
          </w:p>
        </w:tc>
      </w:tr>
      <w:tr w14:paraId="1F974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7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35158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146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F99B2D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呼和浩特市民政局（部门）</w:t>
            </w:r>
          </w:p>
        </w:tc>
        <w:tc>
          <w:tcPr>
            <w:tcW w:w="7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E443E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039"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F84294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呼和浩特市民政局综合保障中心</w:t>
            </w:r>
          </w:p>
        </w:tc>
      </w:tr>
      <w:tr w14:paraId="4ACE3F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78"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1EE5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5F9FF6">
            <w:pPr>
              <w:rPr>
                <w:rFonts w:hint="eastAsia" w:ascii="宋体" w:hAnsi="宋体" w:eastAsia="宋体" w:cs="宋体"/>
                <w:i w:val="0"/>
                <w:iCs w:val="0"/>
                <w:color w:val="000000"/>
                <w:sz w:val="18"/>
                <w:szCs w:val="18"/>
                <w:u w:val="none"/>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0F15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72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BBFC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7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AAE1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C2E5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4E88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4EC5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7B93B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7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9B3533">
            <w:pPr>
              <w:jc w:val="center"/>
              <w:rPr>
                <w:rFonts w:hint="eastAsia" w:ascii="宋体" w:hAnsi="宋体" w:eastAsia="宋体" w:cs="宋体"/>
                <w:i w:val="0"/>
                <w:iCs w:val="0"/>
                <w:color w:val="000000"/>
                <w:sz w:val="18"/>
                <w:szCs w:val="18"/>
                <w:u w:val="none"/>
              </w:rPr>
            </w:pP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FF76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C1CB0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2.26</w:t>
            </w:r>
          </w:p>
        </w:tc>
        <w:tc>
          <w:tcPr>
            <w:tcW w:w="72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0A74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2.26</w:t>
            </w:r>
          </w:p>
        </w:tc>
        <w:tc>
          <w:tcPr>
            <w:tcW w:w="7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4C4E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1.83</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9FDC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B0FF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80.97</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B1DE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w:t>
            </w:r>
          </w:p>
        </w:tc>
      </w:tr>
      <w:tr w14:paraId="6C3CF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7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57A420">
            <w:pPr>
              <w:jc w:val="center"/>
              <w:rPr>
                <w:rFonts w:hint="eastAsia" w:ascii="宋体" w:hAnsi="宋体" w:eastAsia="宋体" w:cs="宋体"/>
                <w:i w:val="0"/>
                <w:iCs w:val="0"/>
                <w:color w:val="000000"/>
                <w:sz w:val="18"/>
                <w:szCs w:val="18"/>
                <w:u w:val="none"/>
              </w:rPr>
            </w:pP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EBA89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92B0E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2.26</w:t>
            </w:r>
          </w:p>
        </w:tc>
        <w:tc>
          <w:tcPr>
            <w:tcW w:w="72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BE89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2.26</w:t>
            </w:r>
          </w:p>
        </w:tc>
        <w:tc>
          <w:tcPr>
            <w:tcW w:w="7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0CA7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1.83</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A7C68">
            <w:pPr>
              <w:keepNext w:val="0"/>
              <w:keepLines w:val="0"/>
              <w:widowControl/>
              <w:suppressLineNumbers w:val="0"/>
              <w:jc w:val="center"/>
              <w:textAlignment w:val="center"/>
              <w:rPr>
                <w:rFonts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0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DF9F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80.97</w:t>
            </w:r>
          </w:p>
        </w:tc>
        <w:tc>
          <w:tcPr>
            <w:tcW w:w="5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60A8A">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6480B1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7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E3FDD1">
            <w:pPr>
              <w:jc w:val="center"/>
              <w:rPr>
                <w:rFonts w:hint="eastAsia" w:ascii="宋体" w:hAnsi="宋体" w:eastAsia="宋体" w:cs="宋体"/>
                <w:i w:val="0"/>
                <w:iCs w:val="0"/>
                <w:color w:val="000000"/>
                <w:sz w:val="18"/>
                <w:szCs w:val="18"/>
                <w:u w:val="none"/>
              </w:rPr>
            </w:pP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66BD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上年结转资金</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3A5D6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72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DE11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CF79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C68B2">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0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F424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5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A5ECB">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4A8C7B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7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C3FE16">
            <w:pPr>
              <w:jc w:val="center"/>
              <w:rPr>
                <w:rFonts w:hint="eastAsia" w:ascii="宋体" w:hAnsi="宋体" w:eastAsia="宋体" w:cs="宋体"/>
                <w:i w:val="0"/>
                <w:iCs w:val="0"/>
                <w:color w:val="000000"/>
                <w:sz w:val="18"/>
                <w:szCs w:val="18"/>
                <w:u w:val="none"/>
              </w:rPr>
            </w:pP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A5EB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80E76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72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1557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44B8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5BEE1">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0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AE0B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5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EF882">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40922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78"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59DE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1822"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8D3FD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239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F4ED7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3EA952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77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A78E59">
            <w:pPr>
              <w:jc w:val="center"/>
              <w:rPr>
                <w:rFonts w:hint="eastAsia" w:ascii="宋体" w:hAnsi="宋体" w:eastAsia="宋体" w:cs="宋体"/>
                <w:i w:val="0"/>
                <w:iCs w:val="0"/>
                <w:color w:val="000000"/>
                <w:sz w:val="18"/>
                <w:szCs w:val="18"/>
                <w:u w:val="none"/>
              </w:rPr>
            </w:pPr>
          </w:p>
        </w:tc>
        <w:tc>
          <w:tcPr>
            <w:tcW w:w="1822"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6C37E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为促进残疾人就业，保障残疾人权益，按时缴纳残疾人就业保障金,促进残疾人保障工作有序运行</w:t>
            </w:r>
          </w:p>
        </w:tc>
        <w:tc>
          <w:tcPr>
            <w:tcW w:w="239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55B3C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为了保障残疾人权益，按照条例规定来安排残疾人就业，若未达到就业比例则企业需缴纳残保金，按照市残联《残疾人保障》条例每年申报缴纳残保金的要求本年度完成。</w:t>
            </w:r>
          </w:p>
        </w:tc>
      </w:tr>
      <w:tr w14:paraId="49E22E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18EE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3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41DF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E022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A2BD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E3AA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指标性质</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E234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指标方向</w:t>
            </w: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1873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E0EA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61EA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A41B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356D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96EFA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6168B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7" w:type="pct"/>
            <w:vMerge w:val="restart"/>
            <w:tcBorders>
              <w:top w:val="single" w:color="000000" w:sz="4" w:space="0"/>
              <w:left w:val="single" w:color="000000" w:sz="4" w:space="0"/>
              <w:bottom w:val="nil"/>
              <w:right w:val="single" w:color="000000" w:sz="4" w:space="0"/>
            </w:tcBorders>
            <w:shd w:val="clear" w:color="auto" w:fill="auto"/>
            <w:vAlign w:val="center"/>
          </w:tcPr>
          <w:p w14:paraId="55AB60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390" w:type="pct"/>
            <w:vMerge w:val="restart"/>
            <w:tcBorders>
              <w:top w:val="single" w:color="000000" w:sz="4" w:space="0"/>
              <w:left w:val="single" w:color="000000" w:sz="4" w:space="0"/>
              <w:bottom w:val="nil"/>
              <w:right w:val="single" w:color="000000" w:sz="4" w:space="0"/>
            </w:tcBorders>
            <w:shd w:val="clear" w:color="auto" w:fill="auto"/>
            <w:vAlign w:val="center"/>
          </w:tcPr>
          <w:p w14:paraId="7A607A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387" w:type="pct"/>
            <w:tcBorders>
              <w:top w:val="single" w:color="000000" w:sz="4" w:space="0"/>
              <w:left w:val="single" w:color="000000" w:sz="4" w:space="0"/>
              <w:bottom w:val="nil"/>
              <w:right w:val="single" w:color="000000" w:sz="4" w:space="0"/>
            </w:tcBorders>
            <w:shd w:val="clear" w:color="auto" w:fill="auto"/>
            <w:vAlign w:val="center"/>
          </w:tcPr>
          <w:p w14:paraId="08FAE0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365AC7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核定上年度缴纳残保金人数</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5F42CC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4" w:type="pct"/>
            <w:tcBorders>
              <w:top w:val="single" w:color="000000" w:sz="4" w:space="0"/>
              <w:left w:val="single" w:color="000000" w:sz="4" w:space="0"/>
              <w:bottom w:val="nil"/>
              <w:right w:val="single" w:color="000000" w:sz="4" w:space="0"/>
            </w:tcBorders>
            <w:shd w:val="clear" w:color="auto" w:fill="auto"/>
            <w:vAlign w:val="center"/>
          </w:tcPr>
          <w:p w14:paraId="4E6A7E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6DD4A5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3CE786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367" w:type="pct"/>
            <w:tcBorders>
              <w:top w:val="single" w:color="000000" w:sz="4" w:space="0"/>
              <w:left w:val="single" w:color="000000" w:sz="4" w:space="0"/>
              <w:bottom w:val="nil"/>
              <w:right w:val="single" w:color="000000" w:sz="4" w:space="0"/>
            </w:tcBorders>
            <w:shd w:val="clear" w:color="auto" w:fill="auto"/>
            <w:vAlign w:val="center"/>
          </w:tcPr>
          <w:p w14:paraId="1EB687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6C8AE4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3D3880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80" w:type="pct"/>
            <w:tcBorders>
              <w:top w:val="single" w:color="000000" w:sz="4" w:space="0"/>
              <w:left w:val="single" w:color="000000" w:sz="4" w:space="0"/>
              <w:bottom w:val="nil"/>
              <w:right w:val="single" w:color="000000" w:sz="4" w:space="0"/>
            </w:tcBorders>
            <w:shd w:val="clear" w:color="auto" w:fill="auto"/>
            <w:vAlign w:val="center"/>
          </w:tcPr>
          <w:p w14:paraId="2C5F0121">
            <w:pPr>
              <w:jc w:val="center"/>
              <w:rPr>
                <w:rFonts w:hint="eastAsia" w:ascii="宋体" w:hAnsi="宋体" w:eastAsia="宋体" w:cs="宋体"/>
                <w:i w:val="0"/>
                <w:iCs w:val="0"/>
                <w:color w:val="000000"/>
                <w:sz w:val="18"/>
                <w:szCs w:val="18"/>
                <w:u w:val="none"/>
              </w:rPr>
            </w:pPr>
          </w:p>
        </w:tc>
      </w:tr>
      <w:tr w14:paraId="71043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7" w:type="pct"/>
            <w:vMerge w:val="continue"/>
            <w:tcBorders>
              <w:top w:val="single" w:color="000000" w:sz="4" w:space="0"/>
              <w:left w:val="single" w:color="000000" w:sz="4" w:space="0"/>
              <w:bottom w:val="nil"/>
              <w:right w:val="single" w:color="000000" w:sz="4" w:space="0"/>
            </w:tcBorders>
            <w:shd w:val="clear" w:color="auto" w:fill="auto"/>
            <w:vAlign w:val="center"/>
          </w:tcPr>
          <w:p w14:paraId="5500310E">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661D57F6">
            <w:pPr>
              <w:jc w:val="center"/>
              <w:rPr>
                <w:rFonts w:hint="eastAsia" w:ascii="宋体" w:hAnsi="宋体" w:eastAsia="宋体" w:cs="宋体"/>
                <w:i w:val="0"/>
                <w:iCs w:val="0"/>
                <w:color w:val="000000"/>
                <w:sz w:val="18"/>
                <w:szCs w:val="18"/>
                <w:u w:val="none"/>
              </w:rPr>
            </w:pPr>
          </w:p>
        </w:tc>
        <w:tc>
          <w:tcPr>
            <w:tcW w:w="387" w:type="pct"/>
            <w:tcBorders>
              <w:top w:val="single" w:color="000000" w:sz="4" w:space="0"/>
              <w:left w:val="single" w:color="000000" w:sz="4" w:space="0"/>
              <w:bottom w:val="nil"/>
              <w:right w:val="single" w:color="000000" w:sz="4" w:space="0"/>
            </w:tcBorders>
            <w:shd w:val="clear" w:color="auto" w:fill="auto"/>
            <w:vAlign w:val="center"/>
          </w:tcPr>
          <w:p w14:paraId="3BA333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691681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项目资金支出足额率</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00E3B7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64" w:type="pct"/>
            <w:tcBorders>
              <w:top w:val="single" w:color="000000" w:sz="4" w:space="0"/>
              <w:left w:val="single" w:color="000000" w:sz="4" w:space="0"/>
              <w:bottom w:val="nil"/>
              <w:right w:val="single" w:color="000000" w:sz="4" w:space="0"/>
            </w:tcBorders>
            <w:shd w:val="clear" w:color="auto" w:fill="auto"/>
            <w:vAlign w:val="center"/>
          </w:tcPr>
          <w:p w14:paraId="658BF8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037377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3C7531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67" w:type="pct"/>
            <w:tcBorders>
              <w:top w:val="single" w:color="000000" w:sz="4" w:space="0"/>
              <w:left w:val="single" w:color="000000" w:sz="4" w:space="0"/>
              <w:bottom w:val="nil"/>
              <w:right w:val="single" w:color="000000" w:sz="4" w:space="0"/>
            </w:tcBorders>
            <w:shd w:val="clear" w:color="auto" w:fill="auto"/>
            <w:vAlign w:val="center"/>
          </w:tcPr>
          <w:p w14:paraId="49E30A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0A1092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37A4A0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80" w:type="pct"/>
            <w:tcBorders>
              <w:top w:val="single" w:color="000000" w:sz="4" w:space="0"/>
              <w:left w:val="single" w:color="000000" w:sz="4" w:space="0"/>
              <w:bottom w:val="nil"/>
              <w:right w:val="single" w:color="000000" w:sz="4" w:space="0"/>
            </w:tcBorders>
            <w:shd w:val="clear" w:color="auto" w:fill="auto"/>
            <w:vAlign w:val="center"/>
          </w:tcPr>
          <w:p w14:paraId="0B955E70">
            <w:pPr>
              <w:jc w:val="center"/>
              <w:rPr>
                <w:rFonts w:hint="eastAsia" w:ascii="宋体" w:hAnsi="宋体" w:eastAsia="宋体" w:cs="宋体"/>
                <w:i w:val="0"/>
                <w:iCs w:val="0"/>
                <w:color w:val="000000"/>
                <w:sz w:val="18"/>
                <w:szCs w:val="18"/>
                <w:u w:val="none"/>
              </w:rPr>
            </w:pPr>
          </w:p>
        </w:tc>
      </w:tr>
      <w:tr w14:paraId="0672FE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7" w:type="pct"/>
            <w:vMerge w:val="continue"/>
            <w:tcBorders>
              <w:top w:val="single" w:color="000000" w:sz="4" w:space="0"/>
              <w:left w:val="single" w:color="000000" w:sz="4" w:space="0"/>
              <w:bottom w:val="nil"/>
              <w:right w:val="single" w:color="000000" w:sz="4" w:space="0"/>
            </w:tcBorders>
            <w:shd w:val="clear" w:color="auto" w:fill="auto"/>
            <w:vAlign w:val="center"/>
          </w:tcPr>
          <w:p w14:paraId="6E7598F9">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06F680C3">
            <w:pPr>
              <w:jc w:val="center"/>
              <w:rPr>
                <w:rFonts w:hint="eastAsia" w:ascii="宋体" w:hAnsi="宋体" w:eastAsia="宋体" w:cs="宋体"/>
                <w:i w:val="0"/>
                <w:iCs w:val="0"/>
                <w:color w:val="000000"/>
                <w:sz w:val="18"/>
                <w:szCs w:val="18"/>
                <w:u w:val="none"/>
              </w:rPr>
            </w:pPr>
          </w:p>
        </w:tc>
        <w:tc>
          <w:tcPr>
            <w:tcW w:w="387" w:type="pct"/>
            <w:vMerge w:val="restart"/>
            <w:tcBorders>
              <w:top w:val="single" w:color="000000" w:sz="4" w:space="0"/>
              <w:left w:val="single" w:color="000000" w:sz="4" w:space="0"/>
              <w:bottom w:val="nil"/>
              <w:right w:val="single" w:color="000000" w:sz="4" w:space="0"/>
            </w:tcBorders>
            <w:shd w:val="clear" w:color="auto" w:fill="auto"/>
            <w:vAlign w:val="center"/>
          </w:tcPr>
          <w:p w14:paraId="21D016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694C3B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缴纳残疾保障金及时率</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32712F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64" w:type="pct"/>
            <w:tcBorders>
              <w:top w:val="single" w:color="000000" w:sz="4" w:space="0"/>
              <w:left w:val="single" w:color="000000" w:sz="4" w:space="0"/>
              <w:bottom w:val="nil"/>
              <w:right w:val="single" w:color="000000" w:sz="4" w:space="0"/>
            </w:tcBorders>
            <w:shd w:val="clear" w:color="auto" w:fill="auto"/>
            <w:vAlign w:val="center"/>
          </w:tcPr>
          <w:p w14:paraId="572565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727CA7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5CE648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67" w:type="pct"/>
            <w:tcBorders>
              <w:top w:val="single" w:color="000000" w:sz="4" w:space="0"/>
              <w:left w:val="single" w:color="000000" w:sz="4" w:space="0"/>
              <w:bottom w:val="nil"/>
              <w:right w:val="single" w:color="000000" w:sz="4" w:space="0"/>
            </w:tcBorders>
            <w:shd w:val="clear" w:color="auto" w:fill="auto"/>
            <w:vAlign w:val="center"/>
          </w:tcPr>
          <w:p w14:paraId="38DD29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5CD56D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7AE81F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80" w:type="pct"/>
            <w:tcBorders>
              <w:top w:val="single" w:color="000000" w:sz="4" w:space="0"/>
              <w:left w:val="single" w:color="000000" w:sz="4" w:space="0"/>
              <w:bottom w:val="nil"/>
              <w:right w:val="single" w:color="000000" w:sz="4" w:space="0"/>
            </w:tcBorders>
            <w:shd w:val="clear" w:color="auto" w:fill="auto"/>
            <w:vAlign w:val="center"/>
          </w:tcPr>
          <w:p w14:paraId="3BE334DA">
            <w:pPr>
              <w:jc w:val="center"/>
              <w:rPr>
                <w:rFonts w:hint="eastAsia" w:ascii="宋体" w:hAnsi="宋体" w:eastAsia="宋体" w:cs="宋体"/>
                <w:i w:val="0"/>
                <w:iCs w:val="0"/>
                <w:color w:val="000000"/>
                <w:sz w:val="18"/>
                <w:szCs w:val="18"/>
                <w:u w:val="none"/>
              </w:rPr>
            </w:pPr>
          </w:p>
        </w:tc>
      </w:tr>
      <w:tr w14:paraId="48C137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7" w:type="pct"/>
            <w:vMerge w:val="continue"/>
            <w:tcBorders>
              <w:top w:val="single" w:color="000000" w:sz="4" w:space="0"/>
              <w:left w:val="single" w:color="000000" w:sz="4" w:space="0"/>
              <w:bottom w:val="nil"/>
              <w:right w:val="single" w:color="000000" w:sz="4" w:space="0"/>
            </w:tcBorders>
            <w:shd w:val="clear" w:color="auto" w:fill="auto"/>
            <w:vAlign w:val="center"/>
          </w:tcPr>
          <w:p w14:paraId="0BF3013B">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274D4BB8">
            <w:pPr>
              <w:jc w:val="center"/>
              <w:rPr>
                <w:rFonts w:hint="eastAsia" w:ascii="宋体" w:hAnsi="宋体" w:eastAsia="宋体" w:cs="宋体"/>
                <w:i w:val="0"/>
                <w:iCs w:val="0"/>
                <w:color w:val="000000"/>
                <w:sz w:val="18"/>
                <w:szCs w:val="18"/>
                <w:u w:val="none"/>
              </w:rPr>
            </w:pPr>
          </w:p>
        </w:tc>
        <w:tc>
          <w:tcPr>
            <w:tcW w:w="387" w:type="pct"/>
            <w:vMerge w:val="continue"/>
            <w:tcBorders>
              <w:top w:val="single" w:color="000000" w:sz="4" w:space="0"/>
              <w:left w:val="single" w:color="000000" w:sz="4" w:space="0"/>
              <w:bottom w:val="nil"/>
              <w:right w:val="single" w:color="000000" w:sz="4" w:space="0"/>
            </w:tcBorders>
            <w:shd w:val="clear" w:color="auto" w:fill="auto"/>
            <w:vAlign w:val="center"/>
          </w:tcPr>
          <w:p w14:paraId="6EDB72C2">
            <w:pPr>
              <w:jc w:val="center"/>
              <w:rPr>
                <w:rFonts w:hint="eastAsia" w:ascii="宋体" w:hAnsi="宋体" w:eastAsia="宋体" w:cs="宋体"/>
                <w:i w:val="0"/>
                <w:iCs w:val="0"/>
                <w:color w:val="000000"/>
                <w:sz w:val="18"/>
                <w:szCs w:val="18"/>
                <w:u w:val="none"/>
              </w:rPr>
            </w:pPr>
          </w:p>
        </w:tc>
        <w:tc>
          <w:tcPr>
            <w:tcW w:w="356" w:type="pct"/>
            <w:tcBorders>
              <w:top w:val="single" w:color="000000" w:sz="4" w:space="0"/>
              <w:left w:val="single" w:color="000000" w:sz="4" w:space="0"/>
              <w:bottom w:val="nil"/>
              <w:right w:val="single" w:color="000000" w:sz="4" w:space="0"/>
            </w:tcBorders>
            <w:shd w:val="clear" w:color="auto" w:fill="auto"/>
            <w:vAlign w:val="center"/>
          </w:tcPr>
          <w:p w14:paraId="0445A1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项目工作完成时间</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292334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64" w:type="pct"/>
            <w:tcBorders>
              <w:top w:val="single" w:color="000000" w:sz="4" w:space="0"/>
              <w:left w:val="single" w:color="000000" w:sz="4" w:space="0"/>
              <w:bottom w:val="nil"/>
              <w:right w:val="single" w:color="000000" w:sz="4" w:space="0"/>
            </w:tcBorders>
            <w:shd w:val="clear" w:color="auto" w:fill="auto"/>
            <w:vAlign w:val="center"/>
          </w:tcPr>
          <w:p w14:paraId="3B69421B">
            <w:pPr>
              <w:jc w:val="center"/>
              <w:rPr>
                <w:rFonts w:hint="eastAsia" w:ascii="宋体" w:hAnsi="宋体" w:eastAsia="宋体" w:cs="宋体"/>
                <w:i w:val="0"/>
                <w:iCs w:val="0"/>
                <w:color w:val="000000"/>
                <w:sz w:val="18"/>
                <w:szCs w:val="18"/>
                <w:u w:val="none"/>
              </w:rPr>
            </w:pPr>
          </w:p>
        </w:tc>
        <w:tc>
          <w:tcPr>
            <w:tcW w:w="357" w:type="pct"/>
            <w:tcBorders>
              <w:top w:val="single" w:color="000000" w:sz="4" w:space="0"/>
              <w:left w:val="single" w:color="000000" w:sz="4" w:space="0"/>
              <w:bottom w:val="nil"/>
              <w:right w:val="single" w:color="000000" w:sz="4" w:space="0"/>
            </w:tcBorders>
            <w:shd w:val="clear" w:color="auto" w:fill="auto"/>
            <w:vAlign w:val="center"/>
          </w:tcPr>
          <w:p w14:paraId="4D366E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2023年12月31日前</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6B929A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2023年12月4日</w:t>
            </w:r>
          </w:p>
        </w:tc>
        <w:tc>
          <w:tcPr>
            <w:tcW w:w="367" w:type="pct"/>
            <w:tcBorders>
              <w:top w:val="single" w:color="000000" w:sz="4" w:space="0"/>
              <w:left w:val="single" w:color="000000" w:sz="4" w:space="0"/>
              <w:bottom w:val="nil"/>
              <w:right w:val="single" w:color="000000" w:sz="4" w:space="0"/>
            </w:tcBorders>
            <w:shd w:val="clear" w:color="auto" w:fill="auto"/>
            <w:vAlign w:val="center"/>
          </w:tcPr>
          <w:p w14:paraId="07819378">
            <w:pPr>
              <w:jc w:val="center"/>
              <w:rPr>
                <w:rFonts w:hint="eastAsia" w:ascii="宋体" w:hAnsi="宋体" w:eastAsia="宋体" w:cs="宋体"/>
                <w:i w:val="0"/>
                <w:iCs w:val="0"/>
                <w:color w:val="000000"/>
                <w:sz w:val="18"/>
                <w:szCs w:val="18"/>
                <w:u w:val="none"/>
              </w:rPr>
            </w:pPr>
          </w:p>
        </w:tc>
        <w:tc>
          <w:tcPr>
            <w:tcW w:w="536" w:type="pct"/>
            <w:tcBorders>
              <w:top w:val="single" w:color="000000" w:sz="4" w:space="0"/>
              <w:left w:val="single" w:color="000000" w:sz="4" w:space="0"/>
              <w:bottom w:val="nil"/>
              <w:right w:val="single" w:color="000000" w:sz="4" w:space="0"/>
            </w:tcBorders>
            <w:shd w:val="clear" w:color="auto" w:fill="auto"/>
            <w:vAlign w:val="center"/>
          </w:tcPr>
          <w:p w14:paraId="7F2146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32784D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80" w:type="pct"/>
            <w:tcBorders>
              <w:top w:val="single" w:color="000000" w:sz="4" w:space="0"/>
              <w:left w:val="single" w:color="000000" w:sz="4" w:space="0"/>
              <w:bottom w:val="nil"/>
              <w:right w:val="single" w:color="000000" w:sz="4" w:space="0"/>
            </w:tcBorders>
            <w:shd w:val="clear" w:color="auto" w:fill="auto"/>
            <w:vAlign w:val="center"/>
          </w:tcPr>
          <w:p w14:paraId="63F07EE1">
            <w:pPr>
              <w:jc w:val="center"/>
              <w:rPr>
                <w:rFonts w:hint="eastAsia" w:ascii="宋体" w:hAnsi="宋体" w:eastAsia="宋体" w:cs="宋体"/>
                <w:i w:val="0"/>
                <w:iCs w:val="0"/>
                <w:color w:val="000000"/>
                <w:sz w:val="18"/>
                <w:szCs w:val="18"/>
                <w:u w:val="none"/>
              </w:rPr>
            </w:pPr>
          </w:p>
        </w:tc>
      </w:tr>
      <w:tr w14:paraId="31EA8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7" w:type="pct"/>
            <w:vMerge w:val="continue"/>
            <w:tcBorders>
              <w:top w:val="single" w:color="000000" w:sz="4" w:space="0"/>
              <w:left w:val="single" w:color="000000" w:sz="4" w:space="0"/>
              <w:bottom w:val="nil"/>
              <w:right w:val="single" w:color="000000" w:sz="4" w:space="0"/>
            </w:tcBorders>
            <w:shd w:val="clear" w:color="auto" w:fill="auto"/>
            <w:vAlign w:val="center"/>
          </w:tcPr>
          <w:p w14:paraId="3A00136E">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62E35C1B">
            <w:pPr>
              <w:jc w:val="center"/>
              <w:rPr>
                <w:rFonts w:hint="eastAsia" w:ascii="宋体" w:hAnsi="宋体" w:eastAsia="宋体" w:cs="宋体"/>
                <w:i w:val="0"/>
                <w:iCs w:val="0"/>
                <w:color w:val="000000"/>
                <w:sz w:val="18"/>
                <w:szCs w:val="18"/>
                <w:u w:val="none"/>
              </w:rPr>
            </w:pPr>
          </w:p>
        </w:tc>
        <w:tc>
          <w:tcPr>
            <w:tcW w:w="387" w:type="pct"/>
            <w:tcBorders>
              <w:top w:val="single" w:color="000000" w:sz="4" w:space="0"/>
              <w:left w:val="single" w:color="000000" w:sz="4" w:space="0"/>
              <w:bottom w:val="nil"/>
              <w:right w:val="single" w:color="000000" w:sz="4" w:space="0"/>
            </w:tcBorders>
            <w:shd w:val="clear" w:color="auto" w:fill="auto"/>
            <w:vAlign w:val="center"/>
          </w:tcPr>
          <w:p w14:paraId="569677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3CE532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缴纳残疾人保障金费用</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59E67E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364" w:type="pct"/>
            <w:tcBorders>
              <w:top w:val="single" w:color="000000" w:sz="4" w:space="0"/>
              <w:left w:val="single" w:color="000000" w:sz="4" w:space="0"/>
              <w:bottom w:val="nil"/>
              <w:right w:val="single" w:color="000000" w:sz="4" w:space="0"/>
            </w:tcBorders>
            <w:shd w:val="clear" w:color="auto" w:fill="auto"/>
            <w:vAlign w:val="center"/>
          </w:tcPr>
          <w:p w14:paraId="035FBB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5B2159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2.26</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221CD4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1.83</w:t>
            </w:r>
          </w:p>
        </w:tc>
        <w:tc>
          <w:tcPr>
            <w:tcW w:w="367" w:type="pct"/>
            <w:tcBorders>
              <w:top w:val="single" w:color="000000" w:sz="4" w:space="0"/>
              <w:left w:val="single" w:color="000000" w:sz="4" w:space="0"/>
              <w:bottom w:val="nil"/>
              <w:right w:val="single" w:color="000000" w:sz="4" w:space="0"/>
            </w:tcBorders>
            <w:shd w:val="clear" w:color="auto" w:fill="auto"/>
            <w:vAlign w:val="center"/>
          </w:tcPr>
          <w:p w14:paraId="7EB44E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343ECE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5BF33F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80" w:type="pct"/>
            <w:tcBorders>
              <w:top w:val="single" w:color="000000" w:sz="4" w:space="0"/>
              <w:left w:val="single" w:color="000000" w:sz="4" w:space="0"/>
              <w:bottom w:val="nil"/>
              <w:right w:val="single" w:color="000000" w:sz="4" w:space="0"/>
            </w:tcBorders>
            <w:shd w:val="clear" w:color="auto" w:fill="auto"/>
            <w:vAlign w:val="center"/>
          </w:tcPr>
          <w:p w14:paraId="2E2909A1">
            <w:pPr>
              <w:jc w:val="center"/>
              <w:rPr>
                <w:rFonts w:hint="eastAsia" w:ascii="宋体" w:hAnsi="宋体" w:eastAsia="宋体" w:cs="宋体"/>
                <w:i w:val="0"/>
                <w:iCs w:val="0"/>
                <w:color w:val="000000"/>
                <w:sz w:val="18"/>
                <w:szCs w:val="18"/>
                <w:u w:val="none"/>
              </w:rPr>
            </w:pPr>
          </w:p>
        </w:tc>
      </w:tr>
      <w:tr w14:paraId="4BEBF9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7" w:type="pct"/>
            <w:vMerge w:val="continue"/>
            <w:tcBorders>
              <w:top w:val="single" w:color="000000" w:sz="4" w:space="0"/>
              <w:left w:val="single" w:color="000000" w:sz="4" w:space="0"/>
              <w:bottom w:val="nil"/>
              <w:right w:val="single" w:color="000000" w:sz="4" w:space="0"/>
            </w:tcBorders>
            <w:shd w:val="clear" w:color="auto" w:fill="auto"/>
            <w:vAlign w:val="center"/>
          </w:tcPr>
          <w:p w14:paraId="1A8F8C07">
            <w:pPr>
              <w:jc w:val="center"/>
              <w:rPr>
                <w:rFonts w:hint="eastAsia" w:ascii="宋体" w:hAnsi="宋体" w:eastAsia="宋体" w:cs="宋体"/>
                <w:i w:val="0"/>
                <w:iCs w:val="0"/>
                <w:color w:val="000000"/>
                <w:sz w:val="18"/>
                <w:szCs w:val="18"/>
                <w:u w:val="none"/>
              </w:rPr>
            </w:pPr>
          </w:p>
        </w:tc>
        <w:tc>
          <w:tcPr>
            <w:tcW w:w="390" w:type="pct"/>
            <w:vMerge w:val="restart"/>
            <w:tcBorders>
              <w:top w:val="single" w:color="000000" w:sz="4" w:space="0"/>
              <w:left w:val="single" w:color="000000" w:sz="4" w:space="0"/>
              <w:bottom w:val="nil"/>
              <w:right w:val="single" w:color="000000" w:sz="4" w:space="0"/>
            </w:tcBorders>
            <w:shd w:val="clear" w:color="auto" w:fill="auto"/>
            <w:vAlign w:val="center"/>
          </w:tcPr>
          <w:p w14:paraId="4A5785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387" w:type="pct"/>
            <w:tcBorders>
              <w:top w:val="single" w:color="000000" w:sz="4" w:space="0"/>
              <w:left w:val="single" w:color="000000" w:sz="4" w:space="0"/>
              <w:bottom w:val="nil"/>
              <w:right w:val="single" w:color="000000" w:sz="4" w:space="0"/>
            </w:tcBorders>
            <w:shd w:val="clear" w:color="auto" w:fill="auto"/>
            <w:vAlign w:val="center"/>
          </w:tcPr>
          <w:p w14:paraId="0618F4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02378B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促进残疾事业增收</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2B6B11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64" w:type="pct"/>
            <w:tcBorders>
              <w:top w:val="single" w:color="000000" w:sz="4" w:space="0"/>
              <w:left w:val="single" w:color="000000" w:sz="4" w:space="0"/>
              <w:bottom w:val="nil"/>
              <w:right w:val="single" w:color="000000" w:sz="4" w:space="0"/>
            </w:tcBorders>
            <w:shd w:val="clear" w:color="auto" w:fill="auto"/>
            <w:vAlign w:val="center"/>
          </w:tcPr>
          <w:p w14:paraId="16F08887">
            <w:pPr>
              <w:jc w:val="center"/>
              <w:rPr>
                <w:rFonts w:hint="eastAsia" w:ascii="宋体" w:hAnsi="宋体" w:eastAsia="宋体" w:cs="宋体"/>
                <w:i w:val="0"/>
                <w:iCs w:val="0"/>
                <w:color w:val="000000"/>
                <w:sz w:val="18"/>
                <w:szCs w:val="18"/>
                <w:u w:val="none"/>
              </w:rPr>
            </w:pPr>
          </w:p>
        </w:tc>
        <w:tc>
          <w:tcPr>
            <w:tcW w:w="357" w:type="pct"/>
            <w:tcBorders>
              <w:top w:val="single" w:color="000000" w:sz="4" w:space="0"/>
              <w:left w:val="single" w:color="000000" w:sz="4" w:space="0"/>
              <w:bottom w:val="nil"/>
              <w:right w:val="single" w:color="000000" w:sz="4" w:space="0"/>
            </w:tcBorders>
            <w:shd w:val="clear" w:color="auto" w:fill="auto"/>
            <w:vAlign w:val="center"/>
          </w:tcPr>
          <w:p w14:paraId="23837F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3E2DB3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67" w:type="pct"/>
            <w:tcBorders>
              <w:top w:val="single" w:color="000000" w:sz="4" w:space="0"/>
              <w:left w:val="single" w:color="000000" w:sz="4" w:space="0"/>
              <w:bottom w:val="nil"/>
              <w:right w:val="single" w:color="000000" w:sz="4" w:space="0"/>
            </w:tcBorders>
            <w:shd w:val="clear" w:color="auto" w:fill="auto"/>
            <w:vAlign w:val="center"/>
          </w:tcPr>
          <w:p w14:paraId="2089BC1A">
            <w:pPr>
              <w:jc w:val="center"/>
              <w:rPr>
                <w:rFonts w:hint="eastAsia" w:ascii="宋体" w:hAnsi="宋体" w:eastAsia="宋体" w:cs="宋体"/>
                <w:i w:val="0"/>
                <w:iCs w:val="0"/>
                <w:color w:val="000000"/>
                <w:sz w:val="18"/>
                <w:szCs w:val="18"/>
                <w:u w:val="none"/>
              </w:rPr>
            </w:pPr>
          </w:p>
        </w:tc>
        <w:tc>
          <w:tcPr>
            <w:tcW w:w="536" w:type="pct"/>
            <w:tcBorders>
              <w:top w:val="single" w:color="000000" w:sz="4" w:space="0"/>
              <w:left w:val="single" w:color="000000" w:sz="4" w:space="0"/>
              <w:bottom w:val="nil"/>
              <w:right w:val="single" w:color="000000" w:sz="4" w:space="0"/>
            </w:tcBorders>
            <w:shd w:val="clear" w:color="auto" w:fill="auto"/>
            <w:vAlign w:val="center"/>
          </w:tcPr>
          <w:p w14:paraId="36DA4A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4054C5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80" w:type="pct"/>
            <w:tcBorders>
              <w:top w:val="single" w:color="000000" w:sz="4" w:space="0"/>
              <w:left w:val="single" w:color="000000" w:sz="4" w:space="0"/>
              <w:bottom w:val="nil"/>
              <w:right w:val="single" w:color="000000" w:sz="4" w:space="0"/>
            </w:tcBorders>
            <w:shd w:val="clear" w:color="auto" w:fill="auto"/>
            <w:vAlign w:val="center"/>
          </w:tcPr>
          <w:p w14:paraId="2BA349AF">
            <w:pPr>
              <w:jc w:val="center"/>
              <w:rPr>
                <w:rFonts w:hint="eastAsia" w:ascii="宋体" w:hAnsi="宋体" w:eastAsia="宋体" w:cs="宋体"/>
                <w:i w:val="0"/>
                <w:iCs w:val="0"/>
                <w:color w:val="000000"/>
                <w:sz w:val="18"/>
                <w:szCs w:val="18"/>
                <w:u w:val="none"/>
              </w:rPr>
            </w:pPr>
          </w:p>
        </w:tc>
      </w:tr>
      <w:tr w14:paraId="48359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7" w:type="pct"/>
            <w:vMerge w:val="continue"/>
            <w:tcBorders>
              <w:top w:val="single" w:color="000000" w:sz="4" w:space="0"/>
              <w:left w:val="single" w:color="000000" w:sz="4" w:space="0"/>
              <w:bottom w:val="nil"/>
              <w:right w:val="single" w:color="000000" w:sz="4" w:space="0"/>
            </w:tcBorders>
            <w:shd w:val="clear" w:color="auto" w:fill="auto"/>
            <w:vAlign w:val="center"/>
          </w:tcPr>
          <w:p w14:paraId="06BD0FA2">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4ED2D2F3">
            <w:pPr>
              <w:jc w:val="center"/>
              <w:rPr>
                <w:rFonts w:hint="eastAsia" w:ascii="宋体" w:hAnsi="宋体" w:eastAsia="宋体" w:cs="宋体"/>
                <w:i w:val="0"/>
                <w:iCs w:val="0"/>
                <w:color w:val="000000"/>
                <w:sz w:val="18"/>
                <w:szCs w:val="18"/>
                <w:u w:val="none"/>
              </w:rPr>
            </w:pPr>
          </w:p>
        </w:tc>
        <w:tc>
          <w:tcPr>
            <w:tcW w:w="387" w:type="pct"/>
            <w:tcBorders>
              <w:top w:val="single" w:color="000000" w:sz="4" w:space="0"/>
              <w:left w:val="single" w:color="000000" w:sz="4" w:space="0"/>
              <w:bottom w:val="nil"/>
              <w:right w:val="single" w:color="000000" w:sz="4" w:space="0"/>
            </w:tcBorders>
            <w:shd w:val="clear" w:color="auto" w:fill="auto"/>
            <w:vAlign w:val="center"/>
          </w:tcPr>
          <w:p w14:paraId="77A63E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132572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帮助残疾人就业</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539598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64" w:type="pct"/>
            <w:tcBorders>
              <w:top w:val="single" w:color="000000" w:sz="4" w:space="0"/>
              <w:left w:val="single" w:color="000000" w:sz="4" w:space="0"/>
              <w:bottom w:val="nil"/>
              <w:right w:val="single" w:color="000000" w:sz="4" w:space="0"/>
            </w:tcBorders>
            <w:shd w:val="clear" w:color="auto" w:fill="auto"/>
            <w:vAlign w:val="center"/>
          </w:tcPr>
          <w:p w14:paraId="51EADE40">
            <w:pPr>
              <w:jc w:val="center"/>
              <w:rPr>
                <w:rFonts w:hint="eastAsia" w:ascii="宋体" w:hAnsi="宋体" w:eastAsia="宋体" w:cs="宋体"/>
                <w:i w:val="0"/>
                <w:iCs w:val="0"/>
                <w:color w:val="000000"/>
                <w:sz w:val="18"/>
                <w:szCs w:val="18"/>
                <w:u w:val="none"/>
              </w:rPr>
            </w:pPr>
          </w:p>
        </w:tc>
        <w:tc>
          <w:tcPr>
            <w:tcW w:w="357" w:type="pct"/>
            <w:tcBorders>
              <w:top w:val="single" w:color="000000" w:sz="4" w:space="0"/>
              <w:left w:val="single" w:color="000000" w:sz="4" w:space="0"/>
              <w:bottom w:val="nil"/>
              <w:right w:val="single" w:color="000000" w:sz="4" w:space="0"/>
            </w:tcBorders>
            <w:shd w:val="clear" w:color="auto" w:fill="auto"/>
            <w:vAlign w:val="center"/>
          </w:tcPr>
          <w:p w14:paraId="6C64E0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44802D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67" w:type="pct"/>
            <w:tcBorders>
              <w:top w:val="single" w:color="000000" w:sz="4" w:space="0"/>
              <w:left w:val="single" w:color="000000" w:sz="4" w:space="0"/>
              <w:bottom w:val="nil"/>
              <w:right w:val="single" w:color="000000" w:sz="4" w:space="0"/>
            </w:tcBorders>
            <w:shd w:val="clear" w:color="auto" w:fill="auto"/>
            <w:vAlign w:val="center"/>
          </w:tcPr>
          <w:p w14:paraId="31A5F253">
            <w:pPr>
              <w:jc w:val="center"/>
              <w:rPr>
                <w:rFonts w:hint="eastAsia" w:ascii="宋体" w:hAnsi="宋体" w:eastAsia="宋体" w:cs="宋体"/>
                <w:i w:val="0"/>
                <w:iCs w:val="0"/>
                <w:color w:val="000000"/>
                <w:sz w:val="18"/>
                <w:szCs w:val="18"/>
                <w:u w:val="none"/>
              </w:rPr>
            </w:pPr>
          </w:p>
        </w:tc>
        <w:tc>
          <w:tcPr>
            <w:tcW w:w="536" w:type="pct"/>
            <w:tcBorders>
              <w:top w:val="single" w:color="000000" w:sz="4" w:space="0"/>
              <w:left w:val="single" w:color="000000" w:sz="4" w:space="0"/>
              <w:bottom w:val="nil"/>
              <w:right w:val="single" w:color="000000" w:sz="4" w:space="0"/>
            </w:tcBorders>
            <w:shd w:val="clear" w:color="auto" w:fill="auto"/>
            <w:vAlign w:val="center"/>
          </w:tcPr>
          <w:p w14:paraId="3FC4B9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35A0D1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80" w:type="pct"/>
            <w:tcBorders>
              <w:top w:val="single" w:color="000000" w:sz="4" w:space="0"/>
              <w:left w:val="single" w:color="000000" w:sz="4" w:space="0"/>
              <w:bottom w:val="nil"/>
              <w:right w:val="single" w:color="000000" w:sz="4" w:space="0"/>
            </w:tcBorders>
            <w:shd w:val="clear" w:color="auto" w:fill="auto"/>
            <w:vAlign w:val="center"/>
          </w:tcPr>
          <w:p w14:paraId="75BEF5C4">
            <w:pPr>
              <w:jc w:val="center"/>
              <w:rPr>
                <w:rFonts w:hint="eastAsia" w:ascii="宋体" w:hAnsi="宋体" w:eastAsia="宋体" w:cs="宋体"/>
                <w:i w:val="0"/>
                <w:iCs w:val="0"/>
                <w:color w:val="000000"/>
                <w:sz w:val="18"/>
                <w:szCs w:val="18"/>
                <w:u w:val="none"/>
              </w:rPr>
            </w:pPr>
          </w:p>
        </w:tc>
      </w:tr>
      <w:tr w14:paraId="12232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7" w:type="pct"/>
            <w:vMerge w:val="continue"/>
            <w:tcBorders>
              <w:top w:val="single" w:color="000000" w:sz="4" w:space="0"/>
              <w:left w:val="single" w:color="000000" w:sz="4" w:space="0"/>
              <w:bottom w:val="nil"/>
              <w:right w:val="single" w:color="000000" w:sz="4" w:space="0"/>
            </w:tcBorders>
            <w:shd w:val="clear" w:color="auto" w:fill="auto"/>
            <w:vAlign w:val="center"/>
          </w:tcPr>
          <w:p w14:paraId="7FE14ADA">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6FC4FC9C">
            <w:pPr>
              <w:jc w:val="center"/>
              <w:rPr>
                <w:rFonts w:hint="eastAsia" w:ascii="宋体" w:hAnsi="宋体" w:eastAsia="宋体" w:cs="宋体"/>
                <w:i w:val="0"/>
                <w:iCs w:val="0"/>
                <w:color w:val="000000"/>
                <w:sz w:val="18"/>
                <w:szCs w:val="18"/>
                <w:u w:val="none"/>
              </w:rPr>
            </w:pPr>
          </w:p>
        </w:tc>
        <w:tc>
          <w:tcPr>
            <w:tcW w:w="387" w:type="pct"/>
            <w:tcBorders>
              <w:top w:val="single" w:color="000000" w:sz="4" w:space="0"/>
              <w:left w:val="single" w:color="000000" w:sz="4" w:space="0"/>
              <w:bottom w:val="nil"/>
              <w:right w:val="single" w:color="000000" w:sz="4" w:space="0"/>
            </w:tcBorders>
            <w:shd w:val="clear" w:color="auto" w:fill="auto"/>
            <w:vAlign w:val="center"/>
          </w:tcPr>
          <w:p w14:paraId="390A50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0CE4E5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促进项目工作有序运行</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2065E6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64" w:type="pct"/>
            <w:tcBorders>
              <w:top w:val="single" w:color="000000" w:sz="4" w:space="0"/>
              <w:left w:val="single" w:color="000000" w:sz="4" w:space="0"/>
              <w:bottom w:val="nil"/>
              <w:right w:val="single" w:color="000000" w:sz="4" w:space="0"/>
            </w:tcBorders>
            <w:shd w:val="clear" w:color="auto" w:fill="auto"/>
            <w:vAlign w:val="center"/>
          </w:tcPr>
          <w:p w14:paraId="263C4774">
            <w:pPr>
              <w:jc w:val="center"/>
              <w:rPr>
                <w:rFonts w:hint="eastAsia" w:ascii="宋体" w:hAnsi="宋体" w:eastAsia="宋体" w:cs="宋体"/>
                <w:i w:val="0"/>
                <w:iCs w:val="0"/>
                <w:color w:val="000000"/>
                <w:sz w:val="18"/>
                <w:szCs w:val="18"/>
                <w:u w:val="none"/>
              </w:rPr>
            </w:pPr>
          </w:p>
        </w:tc>
        <w:tc>
          <w:tcPr>
            <w:tcW w:w="357" w:type="pct"/>
            <w:tcBorders>
              <w:top w:val="single" w:color="000000" w:sz="4" w:space="0"/>
              <w:left w:val="single" w:color="000000" w:sz="4" w:space="0"/>
              <w:bottom w:val="nil"/>
              <w:right w:val="single" w:color="000000" w:sz="4" w:space="0"/>
            </w:tcBorders>
            <w:shd w:val="clear" w:color="auto" w:fill="auto"/>
            <w:vAlign w:val="center"/>
          </w:tcPr>
          <w:p w14:paraId="13F0F3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0CAE21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67" w:type="pct"/>
            <w:tcBorders>
              <w:top w:val="single" w:color="000000" w:sz="4" w:space="0"/>
              <w:left w:val="single" w:color="000000" w:sz="4" w:space="0"/>
              <w:bottom w:val="nil"/>
              <w:right w:val="single" w:color="000000" w:sz="4" w:space="0"/>
            </w:tcBorders>
            <w:shd w:val="clear" w:color="auto" w:fill="auto"/>
            <w:vAlign w:val="center"/>
          </w:tcPr>
          <w:p w14:paraId="52E77C46">
            <w:pPr>
              <w:jc w:val="center"/>
              <w:rPr>
                <w:rFonts w:hint="eastAsia" w:ascii="宋体" w:hAnsi="宋体" w:eastAsia="宋体" w:cs="宋体"/>
                <w:i w:val="0"/>
                <w:iCs w:val="0"/>
                <w:color w:val="000000"/>
                <w:sz w:val="18"/>
                <w:szCs w:val="18"/>
                <w:u w:val="none"/>
              </w:rPr>
            </w:pPr>
          </w:p>
        </w:tc>
        <w:tc>
          <w:tcPr>
            <w:tcW w:w="536" w:type="pct"/>
            <w:tcBorders>
              <w:top w:val="single" w:color="000000" w:sz="4" w:space="0"/>
              <w:left w:val="single" w:color="000000" w:sz="4" w:space="0"/>
              <w:bottom w:val="nil"/>
              <w:right w:val="single" w:color="000000" w:sz="4" w:space="0"/>
            </w:tcBorders>
            <w:shd w:val="clear" w:color="auto" w:fill="auto"/>
            <w:vAlign w:val="center"/>
          </w:tcPr>
          <w:p w14:paraId="534165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0CA1C9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80" w:type="pct"/>
            <w:tcBorders>
              <w:top w:val="single" w:color="000000" w:sz="4" w:space="0"/>
              <w:left w:val="single" w:color="000000" w:sz="4" w:space="0"/>
              <w:bottom w:val="nil"/>
              <w:right w:val="single" w:color="000000" w:sz="4" w:space="0"/>
            </w:tcBorders>
            <w:shd w:val="clear" w:color="auto" w:fill="auto"/>
            <w:vAlign w:val="center"/>
          </w:tcPr>
          <w:p w14:paraId="155A326B">
            <w:pPr>
              <w:jc w:val="center"/>
              <w:rPr>
                <w:rFonts w:hint="eastAsia" w:ascii="宋体" w:hAnsi="宋体" w:eastAsia="宋体" w:cs="宋体"/>
                <w:i w:val="0"/>
                <w:iCs w:val="0"/>
                <w:color w:val="000000"/>
                <w:sz w:val="18"/>
                <w:szCs w:val="18"/>
                <w:u w:val="none"/>
              </w:rPr>
            </w:pPr>
          </w:p>
        </w:tc>
      </w:tr>
      <w:tr w14:paraId="1CA871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7" w:type="pct"/>
            <w:vMerge w:val="continue"/>
            <w:tcBorders>
              <w:top w:val="single" w:color="000000" w:sz="4" w:space="0"/>
              <w:left w:val="single" w:color="000000" w:sz="4" w:space="0"/>
              <w:bottom w:val="nil"/>
              <w:right w:val="single" w:color="000000" w:sz="4" w:space="0"/>
            </w:tcBorders>
            <w:shd w:val="clear" w:color="auto" w:fill="auto"/>
            <w:vAlign w:val="center"/>
          </w:tcPr>
          <w:p w14:paraId="3AE5C282">
            <w:pPr>
              <w:jc w:val="center"/>
              <w:rPr>
                <w:rFonts w:hint="eastAsia" w:ascii="宋体" w:hAnsi="宋体" w:eastAsia="宋体" w:cs="宋体"/>
                <w:i w:val="0"/>
                <w:iCs w:val="0"/>
                <w:color w:val="000000"/>
                <w:sz w:val="18"/>
                <w:szCs w:val="18"/>
                <w:u w:val="none"/>
              </w:rPr>
            </w:pPr>
          </w:p>
        </w:tc>
        <w:tc>
          <w:tcPr>
            <w:tcW w:w="390" w:type="pct"/>
            <w:tcBorders>
              <w:top w:val="single" w:color="000000" w:sz="4" w:space="0"/>
              <w:left w:val="single" w:color="000000" w:sz="4" w:space="0"/>
              <w:bottom w:val="nil"/>
              <w:right w:val="single" w:color="000000" w:sz="4" w:space="0"/>
            </w:tcBorders>
            <w:shd w:val="clear" w:color="auto" w:fill="auto"/>
            <w:vAlign w:val="center"/>
          </w:tcPr>
          <w:p w14:paraId="5879F9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387" w:type="pct"/>
            <w:tcBorders>
              <w:top w:val="single" w:color="000000" w:sz="4" w:space="0"/>
              <w:left w:val="single" w:color="000000" w:sz="4" w:space="0"/>
              <w:bottom w:val="nil"/>
              <w:right w:val="single" w:color="000000" w:sz="4" w:space="0"/>
            </w:tcBorders>
            <w:shd w:val="clear" w:color="auto" w:fill="auto"/>
            <w:vAlign w:val="center"/>
          </w:tcPr>
          <w:p w14:paraId="015C20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122220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残疾人就业满意</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4FC64F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4" w:type="pct"/>
            <w:tcBorders>
              <w:top w:val="single" w:color="000000" w:sz="4" w:space="0"/>
              <w:left w:val="single" w:color="000000" w:sz="4" w:space="0"/>
              <w:bottom w:val="nil"/>
              <w:right w:val="single" w:color="000000" w:sz="4" w:space="0"/>
            </w:tcBorders>
            <w:shd w:val="clear" w:color="auto" w:fill="auto"/>
            <w:vAlign w:val="center"/>
          </w:tcPr>
          <w:p w14:paraId="787962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290CC8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31CD8A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367" w:type="pct"/>
            <w:tcBorders>
              <w:top w:val="single" w:color="000000" w:sz="4" w:space="0"/>
              <w:left w:val="single" w:color="000000" w:sz="4" w:space="0"/>
              <w:bottom w:val="nil"/>
              <w:right w:val="single" w:color="000000" w:sz="4" w:space="0"/>
            </w:tcBorders>
            <w:shd w:val="clear" w:color="auto" w:fill="auto"/>
            <w:vAlign w:val="center"/>
          </w:tcPr>
          <w:p w14:paraId="5AD7B0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56B83F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11AEBA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80" w:type="pct"/>
            <w:tcBorders>
              <w:top w:val="single" w:color="000000" w:sz="4" w:space="0"/>
              <w:left w:val="single" w:color="000000" w:sz="4" w:space="0"/>
              <w:bottom w:val="nil"/>
              <w:right w:val="single" w:color="000000" w:sz="4" w:space="0"/>
            </w:tcBorders>
            <w:shd w:val="clear" w:color="auto" w:fill="auto"/>
            <w:vAlign w:val="center"/>
          </w:tcPr>
          <w:p w14:paraId="4C4EF408">
            <w:pPr>
              <w:jc w:val="center"/>
              <w:rPr>
                <w:rFonts w:hint="eastAsia" w:ascii="宋体" w:hAnsi="宋体" w:eastAsia="宋体" w:cs="宋体"/>
                <w:i w:val="0"/>
                <w:iCs w:val="0"/>
                <w:color w:val="000000"/>
                <w:sz w:val="18"/>
                <w:szCs w:val="18"/>
                <w:u w:val="none"/>
              </w:rPr>
            </w:pPr>
          </w:p>
        </w:tc>
      </w:tr>
      <w:tr w14:paraId="42F4B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328"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8A3A0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0202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3F63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98.1</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25B7D1">
            <w:pPr>
              <w:jc w:val="center"/>
              <w:rPr>
                <w:rFonts w:hint="eastAsia" w:ascii="宋体" w:hAnsi="宋体" w:eastAsia="宋体" w:cs="宋体"/>
                <w:i w:val="0"/>
                <w:iCs w:val="0"/>
                <w:color w:val="000000"/>
                <w:sz w:val="18"/>
                <w:szCs w:val="18"/>
                <w:u w:val="none"/>
              </w:rPr>
            </w:pPr>
          </w:p>
        </w:tc>
      </w:tr>
    </w:tbl>
    <w:p w14:paraId="241F4392">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 w:hAnsi="仿宋" w:eastAsia="仿宋" w:cs="仿宋"/>
          <w:sz w:val="32"/>
          <w:szCs w:val="32"/>
        </w:rPr>
      </w:pPr>
    </w:p>
    <w:p w14:paraId="4D0A933F">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 w:hAnsi="仿宋" w:eastAsia="仿宋" w:cs="仿宋"/>
          <w:sz w:val="32"/>
          <w:szCs w:val="32"/>
        </w:rPr>
      </w:pP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61"/>
        <w:gridCol w:w="666"/>
        <w:gridCol w:w="661"/>
        <w:gridCol w:w="607"/>
        <w:gridCol w:w="607"/>
        <w:gridCol w:w="622"/>
        <w:gridCol w:w="610"/>
        <w:gridCol w:w="612"/>
        <w:gridCol w:w="627"/>
        <w:gridCol w:w="914"/>
        <w:gridCol w:w="946"/>
        <w:gridCol w:w="989"/>
      </w:tblGrid>
      <w:tr w14:paraId="007AB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500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AB6EBB5">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项目支出绩效自评表</w:t>
            </w:r>
            <w:r>
              <w:rPr>
                <w:rFonts w:hint="eastAsia" w:ascii="宋体" w:hAnsi="宋体" w:eastAsia="宋体" w:cs="宋体"/>
                <w:b/>
                <w:bCs/>
                <w:i w:val="0"/>
                <w:iCs w:val="0"/>
                <w:color w:val="000000"/>
                <w:kern w:val="0"/>
                <w:sz w:val="40"/>
                <w:szCs w:val="40"/>
                <w:u w:val="none"/>
                <w:lang w:val="en-US" w:eastAsia="zh-CN" w:bidi="ar"/>
              </w:rPr>
              <w:br w:type="textWrapping"/>
            </w:r>
            <w:r>
              <w:rPr>
                <w:rFonts w:hint="eastAsia" w:ascii="宋体" w:hAnsi="宋体" w:eastAsia="宋体" w:cs="宋体"/>
                <w:b/>
                <w:bCs/>
                <w:i w:val="0"/>
                <w:iCs w:val="0"/>
                <w:color w:val="000000"/>
                <w:kern w:val="0"/>
                <w:sz w:val="40"/>
                <w:szCs w:val="40"/>
                <w:u w:val="none"/>
                <w:lang w:val="en-US" w:eastAsia="zh-CN" w:bidi="ar"/>
              </w:rPr>
              <w:t>(2023年度）</w:t>
            </w:r>
          </w:p>
        </w:tc>
      </w:tr>
      <w:tr w14:paraId="3D364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02C79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4220"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1F611A5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体检费</w:t>
            </w:r>
          </w:p>
        </w:tc>
      </w:tr>
      <w:tr w14:paraId="5460F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59F1F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146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9DE908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呼和浩特市民政局（部门）</w:t>
            </w:r>
          </w:p>
        </w:tc>
        <w:tc>
          <w:tcPr>
            <w:tcW w:w="7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E6759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203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B3B66B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呼和浩特市民政局综合保障中心</w:t>
            </w:r>
          </w:p>
        </w:tc>
      </w:tr>
      <w:tr w14:paraId="081D4C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7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F2F0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5C7E4F">
            <w:pPr>
              <w:rPr>
                <w:rFonts w:hint="eastAsia" w:ascii="宋体" w:hAnsi="宋体" w:eastAsia="宋体" w:cs="宋体"/>
                <w:i w:val="0"/>
                <w:iCs w:val="0"/>
                <w:color w:val="000000"/>
                <w:sz w:val="18"/>
                <w:szCs w:val="18"/>
                <w:u w:val="none"/>
              </w:rPr>
            </w:pP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3F81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7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B9CA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7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A659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6D09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0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3A0C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5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A491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456D36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918A0B">
            <w:pPr>
              <w:jc w:val="center"/>
              <w:rPr>
                <w:rFonts w:hint="eastAsia" w:ascii="宋体" w:hAnsi="宋体" w:eastAsia="宋体" w:cs="宋体"/>
                <w:i w:val="0"/>
                <w:iCs w:val="0"/>
                <w:color w:val="000000"/>
                <w:sz w:val="18"/>
                <w:szCs w:val="18"/>
                <w:u w:val="none"/>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AEA3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BA7FD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c>
          <w:tcPr>
            <w:tcW w:w="7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6A04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c>
          <w:tcPr>
            <w:tcW w:w="7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50AF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A892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BEA4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5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28F1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1BF2B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4D862C">
            <w:pPr>
              <w:jc w:val="center"/>
              <w:rPr>
                <w:rFonts w:hint="eastAsia" w:ascii="宋体" w:hAnsi="宋体" w:eastAsia="宋体" w:cs="宋体"/>
                <w:i w:val="0"/>
                <w:iCs w:val="0"/>
                <w:color w:val="000000"/>
                <w:sz w:val="18"/>
                <w:szCs w:val="18"/>
                <w:u w:val="none"/>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F77D4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F5FC5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c>
          <w:tcPr>
            <w:tcW w:w="7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380F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c>
          <w:tcPr>
            <w:tcW w:w="7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F728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195F3">
            <w:pPr>
              <w:keepNext w:val="0"/>
              <w:keepLines w:val="0"/>
              <w:widowControl/>
              <w:suppressLineNumbers w:val="0"/>
              <w:jc w:val="center"/>
              <w:textAlignment w:val="center"/>
              <w:rPr>
                <w:rFonts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0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E788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5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BD794">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125A05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B96B1F">
            <w:pPr>
              <w:jc w:val="center"/>
              <w:rPr>
                <w:rFonts w:hint="eastAsia" w:ascii="宋体" w:hAnsi="宋体" w:eastAsia="宋体" w:cs="宋体"/>
                <w:i w:val="0"/>
                <w:iCs w:val="0"/>
                <w:color w:val="000000"/>
                <w:sz w:val="18"/>
                <w:szCs w:val="18"/>
                <w:u w:val="none"/>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F544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上年结转资金</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AC519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7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C8CA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7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3AF6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2AF49">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0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3AE6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5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1104A">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20AB0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E83BA2">
            <w:pPr>
              <w:jc w:val="center"/>
              <w:rPr>
                <w:rFonts w:hint="eastAsia" w:ascii="宋体" w:hAnsi="宋体" w:eastAsia="宋体" w:cs="宋体"/>
                <w:i w:val="0"/>
                <w:iCs w:val="0"/>
                <w:color w:val="000000"/>
                <w:sz w:val="18"/>
                <w:szCs w:val="18"/>
                <w:u w:val="none"/>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EF57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F16EA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7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80A6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3DBC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B9F50">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10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C6F6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5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FB9E3">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34D02D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7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56C8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182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12F36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239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B6E64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33C67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50D98E">
            <w:pPr>
              <w:jc w:val="center"/>
              <w:rPr>
                <w:rFonts w:hint="eastAsia" w:ascii="宋体" w:hAnsi="宋体" w:eastAsia="宋体" w:cs="宋体"/>
                <w:i w:val="0"/>
                <w:iCs w:val="0"/>
                <w:color w:val="000000"/>
                <w:sz w:val="18"/>
                <w:szCs w:val="18"/>
                <w:u w:val="none"/>
              </w:rPr>
            </w:pPr>
          </w:p>
        </w:tc>
        <w:tc>
          <w:tcPr>
            <w:tcW w:w="182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AB2A5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贯彻自治区党委和市委市政府关心关爱干部职工工作部署，切实解决职工的体检问题</w:t>
            </w:r>
          </w:p>
        </w:tc>
        <w:tc>
          <w:tcPr>
            <w:tcW w:w="239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BD630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本年项目体检人数为在职人员13人，退休7人，按1000元/人·年标准，在内蒙古医科大学附属医院办理体检卡，及时发放。</w:t>
            </w:r>
          </w:p>
        </w:tc>
      </w:tr>
      <w:tr w14:paraId="5803F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DFB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3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4C9E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3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6837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6EE1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5817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指标性质</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07A8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指标方向</w:t>
            </w: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6410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281A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836A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9675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17A1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5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92C57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3F978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restart"/>
            <w:tcBorders>
              <w:top w:val="single" w:color="000000" w:sz="4" w:space="0"/>
              <w:left w:val="single" w:color="000000" w:sz="4" w:space="0"/>
              <w:bottom w:val="nil"/>
              <w:right w:val="single" w:color="000000" w:sz="4" w:space="0"/>
            </w:tcBorders>
            <w:shd w:val="clear" w:color="auto" w:fill="auto"/>
            <w:vAlign w:val="center"/>
          </w:tcPr>
          <w:p w14:paraId="610A88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390" w:type="pct"/>
            <w:vMerge w:val="restart"/>
            <w:tcBorders>
              <w:top w:val="single" w:color="000000" w:sz="4" w:space="0"/>
              <w:left w:val="single" w:color="000000" w:sz="4" w:space="0"/>
              <w:bottom w:val="nil"/>
              <w:right w:val="single" w:color="000000" w:sz="4" w:space="0"/>
            </w:tcBorders>
            <w:shd w:val="clear" w:color="auto" w:fill="auto"/>
            <w:vAlign w:val="center"/>
          </w:tcPr>
          <w:p w14:paraId="13F2CD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388" w:type="pct"/>
            <w:vMerge w:val="restart"/>
            <w:tcBorders>
              <w:top w:val="single" w:color="000000" w:sz="4" w:space="0"/>
              <w:left w:val="single" w:color="000000" w:sz="4" w:space="0"/>
              <w:bottom w:val="nil"/>
              <w:right w:val="single" w:color="000000" w:sz="4" w:space="0"/>
            </w:tcBorders>
            <w:shd w:val="clear" w:color="auto" w:fill="auto"/>
            <w:vAlign w:val="center"/>
          </w:tcPr>
          <w:p w14:paraId="272F2A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4C161C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体检人数</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494CB3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6D370C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42C238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6C32FB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19C1B2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1A247B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0C969B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5284969C">
            <w:pPr>
              <w:jc w:val="center"/>
              <w:rPr>
                <w:rFonts w:hint="eastAsia" w:ascii="宋体" w:hAnsi="宋体" w:eastAsia="宋体" w:cs="宋体"/>
                <w:i w:val="0"/>
                <w:iCs w:val="0"/>
                <w:color w:val="000000"/>
                <w:sz w:val="18"/>
                <w:szCs w:val="18"/>
                <w:u w:val="none"/>
              </w:rPr>
            </w:pPr>
          </w:p>
        </w:tc>
      </w:tr>
      <w:tr w14:paraId="70DD78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2EE498A1">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29789268">
            <w:pPr>
              <w:jc w:val="center"/>
              <w:rPr>
                <w:rFonts w:hint="eastAsia" w:ascii="宋体" w:hAnsi="宋体" w:eastAsia="宋体" w:cs="宋体"/>
                <w:i w:val="0"/>
                <w:iCs w:val="0"/>
                <w:color w:val="000000"/>
                <w:sz w:val="18"/>
                <w:szCs w:val="18"/>
                <w:u w:val="none"/>
              </w:rPr>
            </w:pPr>
          </w:p>
        </w:tc>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6895E23B">
            <w:pPr>
              <w:jc w:val="center"/>
              <w:rPr>
                <w:rFonts w:hint="eastAsia" w:ascii="宋体" w:hAnsi="宋体" w:eastAsia="宋体" w:cs="宋体"/>
                <w:i w:val="0"/>
                <w:iCs w:val="0"/>
                <w:color w:val="000000"/>
                <w:sz w:val="18"/>
                <w:szCs w:val="18"/>
                <w:u w:val="none"/>
              </w:rPr>
            </w:pPr>
          </w:p>
        </w:tc>
        <w:tc>
          <w:tcPr>
            <w:tcW w:w="356" w:type="pct"/>
            <w:tcBorders>
              <w:top w:val="single" w:color="000000" w:sz="4" w:space="0"/>
              <w:left w:val="single" w:color="000000" w:sz="4" w:space="0"/>
              <w:bottom w:val="nil"/>
              <w:right w:val="single" w:color="000000" w:sz="4" w:space="0"/>
            </w:tcBorders>
            <w:shd w:val="clear" w:color="auto" w:fill="auto"/>
            <w:vAlign w:val="center"/>
          </w:tcPr>
          <w:p w14:paraId="171E5B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体检次数</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755FDA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131C35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0B26F5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09AD0F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1E2A90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次/年</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02660E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78CA20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25506ED2">
            <w:pPr>
              <w:jc w:val="center"/>
              <w:rPr>
                <w:rFonts w:hint="eastAsia" w:ascii="宋体" w:hAnsi="宋体" w:eastAsia="宋体" w:cs="宋体"/>
                <w:i w:val="0"/>
                <w:iCs w:val="0"/>
                <w:color w:val="000000"/>
                <w:sz w:val="18"/>
                <w:szCs w:val="18"/>
                <w:u w:val="none"/>
              </w:rPr>
            </w:pPr>
          </w:p>
        </w:tc>
      </w:tr>
      <w:tr w14:paraId="78F93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6BFF3046">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26165EB9">
            <w:pPr>
              <w:jc w:val="center"/>
              <w:rPr>
                <w:rFonts w:hint="eastAsia" w:ascii="宋体" w:hAnsi="宋体" w:eastAsia="宋体" w:cs="宋体"/>
                <w:i w:val="0"/>
                <w:iCs w:val="0"/>
                <w:color w:val="000000"/>
                <w:sz w:val="18"/>
                <w:szCs w:val="18"/>
                <w:u w:val="none"/>
              </w:rPr>
            </w:pPr>
          </w:p>
        </w:tc>
        <w:tc>
          <w:tcPr>
            <w:tcW w:w="388" w:type="pct"/>
            <w:tcBorders>
              <w:top w:val="single" w:color="000000" w:sz="4" w:space="0"/>
              <w:left w:val="single" w:color="000000" w:sz="4" w:space="0"/>
              <w:bottom w:val="nil"/>
              <w:right w:val="single" w:color="000000" w:sz="4" w:space="0"/>
            </w:tcBorders>
            <w:shd w:val="clear" w:color="auto" w:fill="auto"/>
            <w:vAlign w:val="center"/>
          </w:tcPr>
          <w:p w14:paraId="1EB936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1917C8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体检对象准确率</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46291E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39B3A5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41CC5A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02ADFE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5B9998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0D2E6A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3EB64A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60595CE9">
            <w:pPr>
              <w:jc w:val="center"/>
              <w:rPr>
                <w:rFonts w:hint="eastAsia" w:ascii="宋体" w:hAnsi="宋体" w:eastAsia="宋体" w:cs="宋体"/>
                <w:i w:val="0"/>
                <w:iCs w:val="0"/>
                <w:color w:val="000000"/>
                <w:sz w:val="18"/>
                <w:szCs w:val="18"/>
                <w:u w:val="none"/>
              </w:rPr>
            </w:pPr>
          </w:p>
        </w:tc>
      </w:tr>
      <w:tr w14:paraId="48788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66BAA420">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5EEA7821">
            <w:pPr>
              <w:jc w:val="center"/>
              <w:rPr>
                <w:rFonts w:hint="eastAsia" w:ascii="宋体" w:hAnsi="宋体" w:eastAsia="宋体" w:cs="宋体"/>
                <w:i w:val="0"/>
                <w:iCs w:val="0"/>
                <w:color w:val="000000"/>
                <w:sz w:val="18"/>
                <w:szCs w:val="18"/>
                <w:u w:val="none"/>
              </w:rPr>
            </w:pPr>
          </w:p>
        </w:tc>
        <w:tc>
          <w:tcPr>
            <w:tcW w:w="388" w:type="pct"/>
            <w:vMerge w:val="restart"/>
            <w:tcBorders>
              <w:top w:val="single" w:color="000000" w:sz="4" w:space="0"/>
              <w:left w:val="single" w:color="000000" w:sz="4" w:space="0"/>
              <w:bottom w:val="nil"/>
              <w:right w:val="single" w:color="000000" w:sz="4" w:space="0"/>
            </w:tcBorders>
            <w:shd w:val="clear" w:color="auto" w:fill="auto"/>
            <w:vAlign w:val="center"/>
          </w:tcPr>
          <w:p w14:paraId="6581B9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1F5BB5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体检工作及时率</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5F9921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7E2245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70BED6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07179D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17F8EA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16B6C9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08AEB2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40BA2CC7">
            <w:pPr>
              <w:jc w:val="center"/>
              <w:rPr>
                <w:rFonts w:hint="eastAsia" w:ascii="宋体" w:hAnsi="宋体" w:eastAsia="宋体" w:cs="宋体"/>
                <w:i w:val="0"/>
                <w:iCs w:val="0"/>
                <w:color w:val="000000"/>
                <w:sz w:val="18"/>
                <w:szCs w:val="18"/>
                <w:u w:val="none"/>
              </w:rPr>
            </w:pPr>
          </w:p>
        </w:tc>
      </w:tr>
      <w:tr w14:paraId="15B48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3E4058FC">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6B615C78">
            <w:pPr>
              <w:jc w:val="center"/>
              <w:rPr>
                <w:rFonts w:hint="eastAsia" w:ascii="宋体" w:hAnsi="宋体" w:eastAsia="宋体" w:cs="宋体"/>
                <w:i w:val="0"/>
                <w:iCs w:val="0"/>
                <w:color w:val="000000"/>
                <w:sz w:val="18"/>
                <w:szCs w:val="18"/>
                <w:u w:val="none"/>
              </w:rPr>
            </w:pPr>
          </w:p>
        </w:tc>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7191CC62">
            <w:pPr>
              <w:jc w:val="center"/>
              <w:rPr>
                <w:rFonts w:hint="eastAsia" w:ascii="宋体" w:hAnsi="宋体" w:eastAsia="宋体" w:cs="宋体"/>
                <w:i w:val="0"/>
                <w:iCs w:val="0"/>
                <w:color w:val="000000"/>
                <w:sz w:val="18"/>
                <w:szCs w:val="18"/>
                <w:u w:val="none"/>
              </w:rPr>
            </w:pPr>
          </w:p>
        </w:tc>
        <w:tc>
          <w:tcPr>
            <w:tcW w:w="356" w:type="pct"/>
            <w:tcBorders>
              <w:top w:val="single" w:color="000000" w:sz="4" w:space="0"/>
              <w:left w:val="single" w:color="000000" w:sz="4" w:space="0"/>
              <w:bottom w:val="nil"/>
              <w:right w:val="single" w:color="000000" w:sz="4" w:space="0"/>
            </w:tcBorders>
            <w:shd w:val="clear" w:color="auto" w:fill="auto"/>
            <w:vAlign w:val="center"/>
          </w:tcPr>
          <w:p w14:paraId="68D115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项目工作完成时间</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2CDBF6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75F1A586">
            <w:pPr>
              <w:jc w:val="center"/>
              <w:rPr>
                <w:rFonts w:hint="eastAsia" w:ascii="宋体" w:hAnsi="宋体" w:eastAsia="宋体" w:cs="宋体"/>
                <w:i w:val="0"/>
                <w:iCs w:val="0"/>
                <w:color w:val="000000"/>
                <w:sz w:val="18"/>
                <w:szCs w:val="18"/>
                <w:u w:val="none"/>
              </w:rPr>
            </w:pPr>
          </w:p>
        </w:tc>
        <w:tc>
          <w:tcPr>
            <w:tcW w:w="357" w:type="pct"/>
            <w:tcBorders>
              <w:top w:val="single" w:color="000000" w:sz="4" w:space="0"/>
              <w:left w:val="single" w:color="000000" w:sz="4" w:space="0"/>
              <w:bottom w:val="nil"/>
              <w:right w:val="single" w:color="000000" w:sz="4" w:space="0"/>
            </w:tcBorders>
            <w:shd w:val="clear" w:color="auto" w:fill="auto"/>
            <w:vAlign w:val="center"/>
          </w:tcPr>
          <w:p w14:paraId="0C05CA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2023年12月31日前</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15F541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2023年10月16日</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6F507E59">
            <w:pPr>
              <w:jc w:val="center"/>
              <w:rPr>
                <w:rFonts w:hint="eastAsia" w:ascii="宋体" w:hAnsi="宋体" w:eastAsia="宋体" w:cs="宋体"/>
                <w:i w:val="0"/>
                <w:iCs w:val="0"/>
                <w:color w:val="000000"/>
                <w:sz w:val="18"/>
                <w:szCs w:val="18"/>
                <w:u w:val="none"/>
              </w:rPr>
            </w:pPr>
          </w:p>
        </w:tc>
        <w:tc>
          <w:tcPr>
            <w:tcW w:w="536" w:type="pct"/>
            <w:tcBorders>
              <w:top w:val="single" w:color="000000" w:sz="4" w:space="0"/>
              <w:left w:val="single" w:color="000000" w:sz="4" w:space="0"/>
              <w:bottom w:val="nil"/>
              <w:right w:val="single" w:color="000000" w:sz="4" w:space="0"/>
            </w:tcBorders>
            <w:shd w:val="clear" w:color="auto" w:fill="auto"/>
            <w:vAlign w:val="center"/>
          </w:tcPr>
          <w:p w14:paraId="69977D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064C53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7471CFA6">
            <w:pPr>
              <w:jc w:val="center"/>
              <w:rPr>
                <w:rFonts w:hint="eastAsia" w:ascii="宋体" w:hAnsi="宋体" w:eastAsia="宋体" w:cs="宋体"/>
                <w:i w:val="0"/>
                <w:iCs w:val="0"/>
                <w:color w:val="000000"/>
                <w:sz w:val="18"/>
                <w:szCs w:val="18"/>
                <w:u w:val="none"/>
              </w:rPr>
            </w:pPr>
          </w:p>
        </w:tc>
      </w:tr>
      <w:tr w14:paraId="7DFB1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2BE1C751">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0CD902FE">
            <w:pPr>
              <w:jc w:val="center"/>
              <w:rPr>
                <w:rFonts w:hint="eastAsia" w:ascii="宋体" w:hAnsi="宋体" w:eastAsia="宋体" w:cs="宋体"/>
                <w:i w:val="0"/>
                <w:iCs w:val="0"/>
                <w:color w:val="000000"/>
                <w:sz w:val="18"/>
                <w:szCs w:val="18"/>
                <w:u w:val="none"/>
              </w:rPr>
            </w:pPr>
          </w:p>
        </w:tc>
        <w:tc>
          <w:tcPr>
            <w:tcW w:w="388" w:type="pct"/>
            <w:vMerge w:val="restart"/>
            <w:tcBorders>
              <w:top w:val="single" w:color="000000" w:sz="4" w:space="0"/>
              <w:left w:val="single" w:color="000000" w:sz="4" w:space="0"/>
              <w:bottom w:val="nil"/>
              <w:right w:val="single" w:color="000000" w:sz="4" w:space="0"/>
            </w:tcBorders>
            <w:shd w:val="clear" w:color="auto" w:fill="auto"/>
            <w:vAlign w:val="center"/>
          </w:tcPr>
          <w:p w14:paraId="56D77F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5AE2F5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体检标准</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73272E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418D61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20EA50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3541B6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35E9B7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11603D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563A9E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39322D87">
            <w:pPr>
              <w:jc w:val="center"/>
              <w:rPr>
                <w:rFonts w:hint="eastAsia" w:ascii="宋体" w:hAnsi="宋体" w:eastAsia="宋体" w:cs="宋体"/>
                <w:i w:val="0"/>
                <w:iCs w:val="0"/>
                <w:color w:val="000000"/>
                <w:sz w:val="18"/>
                <w:szCs w:val="18"/>
                <w:u w:val="none"/>
              </w:rPr>
            </w:pPr>
          </w:p>
        </w:tc>
      </w:tr>
      <w:tr w14:paraId="6B40C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54422A40">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2DFAE305">
            <w:pPr>
              <w:jc w:val="center"/>
              <w:rPr>
                <w:rFonts w:hint="eastAsia" w:ascii="宋体" w:hAnsi="宋体" w:eastAsia="宋体" w:cs="宋体"/>
                <w:i w:val="0"/>
                <w:iCs w:val="0"/>
                <w:color w:val="000000"/>
                <w:sz w:val="18"/>
                <w:szCs w:val="18"/>
                <w:u w:val="none"/>
              </w:rPr>
            </w:pPr>
          </w:p>
        </w:tc>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497B8075">
            <w:pPr>
              <w:jc w:val="center"/>
              <w:rPr>
                <w:rFonts w:hint="eastAsia" w:ascii="宋体" w:hAnsi="宋体" w:eastAsia="宋体" w:cs="宋体"/>
                <w:i w:val="0"/>
                <w:iCs w:val="0"/>
                <w:color w:val="000000"/>
                <w:sz w:val="18"/>
                <w:szCs w:val="18"/>
                <w:u w:val="none"/>
              </w:rPr>
            </w:pPr>
          </w:p>
        </w:tc>
        <w:tc>
          <w:tcPr>
            <w:tcW w:w="356" w:type="pct"/>
            <w:tcBorders>
              <w:top w:val="single" w:color="000000" w:sz="4" w:space="0"/>
              <w:left w:val="single" w:color="000000" w:sz="4" w:space="0"/>
              <w:bottom w:val="nil"/>
              <w:right w:val="single" w:color="000000" w:sz="4" w:space="0"/>
            </w:tcBorders>
            <w:shd w:val="clear" w:color="auto" w:fill="auto"/>
            <w:vAlign w:val="center"/>
          </w:tcPr>
          <w:p w14:paraId="23D6D4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项目总成本</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22C5CD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0C4721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496287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1AC0EA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4C321B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716B13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6F7455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552DBCBC">
            <w:pPr>
              <w:jc w:val="center"/>
              <w:rPr>
                <w:rFonts w:hint="eastAsia" w:ascii="宋体" w:hAnsi="宋体" w:eastAsia="宋体" w:cs="宋体"/>
                <w:i w:val="0"/>
                <w:iCs w:val="0"/>
                <w:color w:val="000000"/>
                <w:sz w:val="18"/>
                <w:szCs w:val="18"/>
                <w:u w:val="none"/>
              </w:rPr>
            </w:pPr>
          </w:p>
        </w:tc>
      </w:tr>
      <w:tr w14:paraId="77331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32A7C3DC">
            <w:pPr>
              <w:jc w:val="center"/>
              <w:rPr>
                <w:rFonts w:hint="eastAsia" w:ascii="宋体" w:hAnsi="宋体" w:eastAsia="宋体" w:cs="宋体"/>
                <w:i w:val="0"/>
                <w:iCs w:val="0"/>
                <w:color w:val="000000"/>
                <w:sz w:val="18"/>
                <w:szCs w:val="18"/>
                <w:u w:val="none"/>
              </w:rPr>
            </w:pPr>
          </w:p>
        </w:tc>
        <w:tc>
          <w:tcPr>
            <w:tcW w:w="390" w:type="pct"/>
            <w:vMerge w:val="restart"/>
            <w:tcBorders>
              <w:top w:val="single" w:color="000000" w:sz="4" w:space="0"/>
              <w:left w:val="single" w:color="000000" w:sz="4" w:space="0"/>
              <w:bottom w:val="nil"/>
              <w:right w:val="single" w:color="000000" w:sz="4" w:space="0"/>
            </w:tcBorders>
            <w:shd w:val="clear" w:color="auto" w:fill="auto"/>
            <w:vAlign w:val="center"/>
          </w:tcPr>
          <w:p w14:paraId="42408A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388" w:type="pct"/>
            <w:tcBorders>
              <w:top w:val="single" w:color="000000" w:sz="4" w:space="0"/>
              <w:left w:val="single" w:color="000000" w:sz="4" w:space="0"/>
              <w:bottom w:val="nil"/>
              <w:right w:val="single" w:color="000000" w:sz="4" w:space="0"/>
            </w:tcBorders>
            <w:shd w:val="clear" w:color="auto" w:fill="auto"/>
            <w:vAlign w:val="center"/>
          </w:tcPr>
          <w:p w14:paraId="77E19B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58B3EA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保障职工身体健康度</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15472E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7E16DEEE">
            <w:pPr>
              <w:jc w:val="center"/>
              <w:rPr>
                <w:rFonts w:hint="eastAsia" w:ascii="宋体" w:hAnsi="宋体" w:eastAsia="宋体" w:cs="宋体"/>
                <w:i w:val="0"/>
                <w:iCs w:val="0"/>
                <w:color w:val="000000"/>
                <w:sz w:val="18"/>
                <w:szCs w:val="18"/>
                <w:u w:val="none"/>
              </w:rPr>
            </w:pPr>
          </w:p>
        </w:tc>
        <w:tc>
          <w:tcPr>
            <w:tcW w:w="357" w:type="pct"/>
            <w:tcBorders>
              <w:top w:val="single" w:color="000000" w:sz="4" w:space="0"/>
              <w:left w:val="single" w:color="000000" w:sz="4" w:space="0"/>
              <w:bottom w:val="nil"/>
              <w:right w:val="single" w:color="000000" w:sz="4" w:space="0"/>
            </w:tcBorders>
            <w:shd w:val="clear" w:color="auto" w:fill="auto"/>
            <w:vAlign w:val="center"/>
          </w:tcPr>
          <w:p w14:paraId="16BAEE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30E630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3798CB78">
            <w:pPr>
              <w:jc w:val="center"/>
              <w:rPr>
                <w:rFonts w:hint="eastAsia" w:ascii="宋体" w:hAnsi="宋体" w:eastAsia="宋体" w:cs="宋体"/>
                <w:i w:val="0"/>
                <w:iCs w:val="0"/>
                <w:color w:val="000000"/>
                <w:sz w:val="18"/>
                <w:szCs w:val="18"/>
                <w:u w:val="none"/>
              </w:rPr>
            </w:pPr>
          </w:p>
        </w:tc>
        <w:tc>
          <w:tcPr>
            <w:tcW w:w="536" w:type="pct"/>
            <w:tcBorders>
              <w:top w:val="single" w:color="000000" w:sz="4" w:space="0"/>
              <w:left w:val="single" w:color="000000" w:sz="4" w:space="0"/>
              <w:bottom w:val="nil"/>
              <w:right w:val="single" w:color="000000" w:sz="4" w:space="0"/>
            </w:tcBorders>
            <w:shd w:val="clear" w:color="auto" w:fill="auto"/>
            <w:vAlign w:val="center"/>
          </w:tcPr>
          <w:p w14:paraId="0F7429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65D022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45679DC0">
            <w:pPr>
              <w:jc w:val="center"/>
              <w:rPr>
                <w:rFonts w:hint="eastAsia" w:ascii="宋体" w:hAnsi="宋体" w:eastAsia="宋体" w:cs="宋体"/>
                <w:i w:val="0"/>
                <w:iCs w:val="0"/>
                <w:color w:val="000000"/>
                <w:sz w:val="18"/>
                <w:szCs w:val="18"/>
                <w:u w:val="none"/>
              </w:rPr>
            </w:pPr>
          </w:p>
        </w:tc>
      </w:tr>
      <w:tr w14:paraId="4F647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763573AF">
            <w:pPr>
              <w:jc w:val="center"/>
              <w:rPr>
                <w:rFonts w:hint="eastAsia" w:ascii="宋体" w:hAnsi="宋体" w:eastAsia="宋体" w:cs="宋体"/>
                <w:i w:val="0"/>
                <w:iCs w:val="0"/>
                <w:color w:val="000000"/>
                <w:sz w:val="18"/>
                <w:szCs w:val="18"/>
                <w:u w:val="none"/>
              </w:rPr>
            </w:pPr>
          </w:p>
        </w:tc>
        <w:tc>
          <w:tcPr>
            <w:tcW w:w="390" w:type="pct"/>
            <w:vMerge w:val="continue"/>
            <w:tcBorders>
              <w:top w:val="single" w:color="000000" w:sz="4" w:space="0"/>
              <w:left w:val="single" w:color="000000" w:sz="4" w:space="0"/>
              <w:bottom w:val="nil"/>
              <w:right w:val="single" w:color="000000" w:sz="4" w:space="0"/>
            </w:tcBorders>
            <w:shd w:val="clear" w:color="auto" w:fill="auto"/>
            <w:vAlign w:val="center"/>
          </w:tcPr>
          <w:p w14:paraId="7D572910">
            <w:pPr>
              <w:jc w:val="center"/>
              <w:rPr>
                <w:rFonts w:hint="eastAsia" w:ascii="宋体" w:hAnsi="宋体" w:eastAsia="宋体" w:cs="宋体"/>
                <w:i w:val="0"/>
                <w:iCs w:val="0"/>
                <w:color w:val="000000"/>
                <w:sz w:val="18"/>
                <w:szCs w:val="18"/>
                <w:u w:val="none"/>
              </w:rPr>
            </w:pPr>
          </w:p>
        </w:tc>
        <w:tc>
          <w:tcPr>
            <w:tcW w:w="388" w:type="pct"/>
            <w:tcBorders>
              <w:top w:val="single" w:color="000000" w:sz="4" w:space="0"/>
              <w:left w:val="single" w:color="000000" w:sz="4" w:space="0"/>
              <w:bottom w:val="nil"/>
              <w:right w:val="single" w:color="000000" w:sz="4" w:space="0"/>
            </w:tcBorders>
            <w:shd w:val="clear" w:color="auto" w:fill="auto"/>
            <w:vAlign w:val="center"/>
          </w:tcPr>
          <w:p w14:paraId="375453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54F895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长期促进职工身体健康</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0814A0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6D9D4963">
            <w:pPr>
              <w:jc w:val="center"/>
              <w:rPr>
                <w:rFonts w:hint="eastAsia" w:ascii="宋体" w:hAnsi="宋体" w:eastAsia="宋体" w:cs="宋体"/>
                <w:i w:val="0"/>
                <w:iCs w:val="0"/>
                <w:color w:val="000000"/>
                <w:sz w:val="18"/>
                <w:szCs w:val="18"/>
                <w:u w:val="none"/>
              </w:rPr>
            </w:pPr>
          </w:p>
        </w:tc>
        <w:tc>
          <w:tcPr>
            <w:tcW w:w="357" w:type="pct"/>
            <w:tcBorders>
              <w:top w:val="single" w:color="000000" w:sz="4" w:space="0"/>
              <w:left w:val="single" w:color="000000" w:sz="4" w:space="0"/>
              <w:bottom w:val="nil"/>
              <w:right w:val="single" w:color="000000" w:sz="4" w:space="0"/>
            </w:tcBorders>
            <w:shd w:val="clear" w:color="auto" w:fill="auto"/>
            <w:vAlign w:val="center"/>
          </w:tcPr>
          <w:p w14:paraId="5BE40B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1C99BF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1A1A5D28">
            <w:pPr>
              <w:jc w:val="center"/>
              <w:rPr>
                <w:rFonts w:hint="eastAsia" w:ascii="宋体" w:hAnsi="宋体" w:eastAsia="宋体" w:cs="宋体"/>
                <w:i w:val="0"/>
                <w:iCs w:val="0"/>
                <w:color w:val="000000"/>
                <w:sz w:val="18"/>
                <w:szCs w:val="18"/>
                <w:u w:val="none"/>
              </w:rPr>
            </w:pPr>
          </w:p>
        </w:tc>
        <w:tc>
          <w:tcPr>
            <w:tcW w:w="536" w:type="pct"/>
            <w:tcBorders>
              <w:top w:val="single" w:color="000000" w:sz="4" w:space="0"/>
              <w:left w:val="single" w:color="000000" w:sz="4" w:space="0"/>
              <w:bottom w:val="nil"/>
              <w:right w:val="single" w:color="000000" w:sz="4" w:space="0"/>
            </w:tcBorders>
            <w:shd w:val="clear" w:color="auto" w:fill="auto"/>
            <w:vAlign w:val="center"/>
          </w:tcPr>
          <w:p w14:paraId="649995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35CC64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70002180">
            <w:pPr>
              <w:jc w:val="center"/>
              <w:rPr>
                <w:rFonts w:hint="eastAsia" w:ascii="宋体" w:hAnsi="宋体" w:eastAsia="宋体" w:cs="宋体"/>
                <w:i w:val="0"/>
                <w:iCs w:val="0"/>
                <w:color w:val="000000"/>
                <w:sz w:val="18"/>
                <w:szCs w:val="18"/>
                <w:u w:val="none"/>
              </w:rPr>
            </w:pPr>
          </w:p>
        </w:tc>
      </w:tr>
      <w:tr w14:paraId="4CBD1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nil"/>
              <w:right w:val="single" w:color="000000" w:sz="4" w:space="0"/>
            </w:tcBorders>
            <w:shd w:val="clear" w:color="auto" w:fill="auto"/>
            <w:vAlign w:val="center"/>
          </w:tcPr>
          <w:p w14:paraId="31E79A9A">
            <w:pPr>
              <w:jc w:val="center"/>
              <w:rPr>
                <w:rFonts w:hint="eastAsia" w:ascii="宋体" w:hAnsi="宋体" w:eastAsia="宋体" w:cs="宋体"/>
                <w:i w:val="0"/>
                <w:iCs w:val="0"/>
                <w:color w:val="000000"/>
                <w:sz w:val="18"/>
                <w:szCs w:val="18"/>
                <w:u w:val="none"/>
              </w:rPr>
            </w:pPr>
          </w:p>
        </w:tc>
        <w:tc>
          <w:tcPr>
            <w:tcW w:w="390" w:type="pct"/>
            <w:tcBorders>
              <w:top w:val="single" w:color="000000" w:sz="4" w:space="0"/>
              <w:left w:val="single" w:color="000000" w:sz="4" w:space="0"/>
              <w:bottom w:val="nil"/>
              <w:right w:val="single" w:color="000000" w:sz="4" w:space="0"/>
            </w:tcBorders>
            <w:shd w:val="clear" w:color="auto" w:fill="auto"/>
            <w:vAlign w:val="center"/>
          </w:tcPr>
          <w:p w14:paraId="4E811C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388" w:type="pct"/>
            <w:tcBorders>
              <w:top w:val="single" w:color="000000" w:sz="4" w:space="0"/>
              <w:left w:val="single" w:color="000000" w:sz="4" w:space="0"/>
              <w:bottom w:val="nil"/>
              <w:right w:val="single" w:color="000000" w:sz="4" w:space="0"/>
            </w:tcBorders>
            <w:shd w:val="clear" w:color="auto" w:fill="auto"/>
            <w:vAlign w:val="center"/>
          </w:tcPr>
          <w:p w14:paraId="0AD8F7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57CD86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体检人员满意度</w:t>
            </w:r>
          </w:p>
        </w:tc>
        <w:tc>
          <w:tcPr>
            <w:tcW w:w="356" w:type="pct"/>
            <w:tcBorders>
              <w:top w:val="single" w:color="000000" w:sz="4" w:space="0"/>
              <w:left w:val="single" w:color="000000" w:sz="4" w:space="0"/>
              <w:bottom w:val="nil"/>
              <w:right w:val="single" w:color="000000" w:sz="4" w:space="0"/>
            </w:tcBorders>
            <w:shd w:val="clear" w:color="auto" w:fill="auto"/>
            <w:vAlign w:val="center"/>
          </w:tcPr>
          <w:p w14:paraId="285C03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3B1214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357" w:type="pct"/>
            <w:tcBorders>
              <w:top w:val="single" w:color="000000" w:sz="4" w:space="0"/>
              <w:left w:val="single" w:color="000000" w:sz="4" w:space="0"/>
              <w:bottom w:val="nil"/>
              <w:right w:val="single" w:color="000000" w:sz="4" w:space="0"/>
            </w:tcBorders>
            <w:shd w:val="clear" w:color="auto" w:fill="auto"/>
            <w:vAlign w:val="center"/>
          </w:tcPr>
          <w:p w14:paraId="32F362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359" w:type="pct"/>
            <w:tcBorders>
              <w:top w:val="single" w:color="000000" w:sz="4" w:space="0"/>
              <w:left w:val="single" w:color="000000" w:sz="4" w:space="0"/>
              <w:bottom w:val="nil"/>
              <w:right w:val="single" w:color="000000" w:sz="4" w:space="0"/>
            </w:tcBorders>
            <w:shd w:val="clear" w:color="auto" w:fill="auto"/>
            <w:vAlign w:val="center"/>
          </w:tcPr>
          <w:p w14:paraId="08BA0C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63" w:type="pct"/>
            <w:tcBorders>
              <w:top w:val="single" w:color="000000" w:sz="4" w:space="0"/>
              <w:left w:val="single" w:color="000000" w:sz="4" w:space="0"/>
              <w:bottom w:val="nil"/>
              <w:right w:val="single" w:color="000000" w:sz="4" w:space="0"/>
            </w:tcBorders>
            <w:shd w:val="clear" w:color="auto" w:fill="auto"/>
            <w:vAlign w:val="center"/>
          </w:tcPr>
          <w:p w14:paraId="0129BB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36" w:type="pct"/>
            <w:tcBorders>
              <w:top w:val="single" w:color="000000" w:sz="4" w:space="0"/>
              <w:left w:val="single" w:color="000000" w:sz="4" w:space="0"/>
              <w:bottom w:val="nil"/>
              <w:right w:val="single" w:color="000000" w:sz="4" w:space="0"/>
            </w:tcBorders>
            <w:shd w:val="clear" w:color="auto" w:fill="auto"/>
            <w:vAlign w:val="center"/>
          </w:tcPr>
          <w:p w14:paraId="02A8F4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55" w:type="pct"/>
            <w:tcBorders>
              <w:top w:val="single" w:color="000000" w:sz="4" w:space="0"/>
              <w:left w:val="single" w:color="000000" w:sz="4" w:space="0"/>
              <w:bottom w:val="nil"/>
              <w:right w:val="single" w:color="000000" w:sz="4" w:space="0"/>
            </w:tcBorders>
            <w:shd w:val="clear" w:color="auto" w:fill="auto"/>
            <w:vAlign w:val="center"/>
          </w:tcPr>
          <w:p w14:paraId="03A562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82" w:type="pct"/>
            <w:tcBorders>
              <w:top w:val="single" w:color="000000" w:sz="4" w:space="0"/>
              <w:left w:val="single" w:color="000000" w:sz="4" w:space="0"/>
              <w:bottom w:val="nil"/>
              <w:right w:val="single" w:color="000000" w:sz="4" w:space="0"/>
            </w:tcBorders>
            <w:shd w:val="clear" w:color="auto" w:fill="auto"/>
            <w:vAlign w:val="center"/>
          </w:tcPr>
          <w:p w14:paraId="53004E01">
            <w:pPr>
              <w:jc w:val="center"/>
              <w:rPr>
                <w:rFonts w:hint="eastAsia" w:ascii="宋体" w:hAnsi="宋体" w:eastAsia="宋体" w:cs="宋体"/>
                <w:i w:val="0"/>
                <w:iCs w:val="0"/>
                <w:color w:val="000000"/>
                <w:sz w:val="18"/>
                <w:szCs w:val="18"/>
                <w:u w:val="none"/>
              </w:rPr>
            </w:pPr>
          </w:p>
        </w:tc>
      </w:tr>
      <w:tr w14:paraId="0FFA2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326"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199AC2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A4D4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51B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09F36B">
            <w:pPr>
              <w:jc w:val="center"/>
              <w:rPr>
                <w:rFonts w:hint="eastAsia" w:ascii="宋体" w:hAnsi="宋体" w:eastAsia="宋体" w:cs="宋体"/>
                <w:i w:val="0"/>
                <w:iCs w:val="0"/>
                <w:color w:val="000000"/>
                <w:sz w:val="18"/>
                <w:szCs w:val="18"/>
                <w:u w:val="none"/>
              </w:rPr>
            </w:pPr>
          </w:p>
        </w:tc>
      </w:tr>
    </w:tbl>
    <w:p w14:paraId="343557EA">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 w:hAnsi="仿宋" w:eastAsia="仿宋" w:cs="仿宋"/>
          <w:sz w:val="32"/>
          <w:szCs w:val="32"/>
        </w:rPr>
      </w:pPr>
    </w:p>
    <w:p w14:paraId="2787A933">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 w:hAnsi="仿宋" w:eastAsia="仿宋" w:cs="仿宋"/>
          <w:sz w:val="32"/>
          <w:szCs w:val="32"/>
        </w:rPr>
      </w:pPr>
      <w:r>
        <w:rPr>
          <w:rFonts w:hint="eastAsia" w:ascii="仿宋" w:hAnsi="仿宋" w:eastAsia="仿宋" w:cs="仿宋"/>
          <w:sz w:val="32"/>
          <w:szCs w:val="32"/>
        </w:rPr>
        <w:t>（三）部门（单位）项目绩效评价结果。</w:t>
      </w:r>
    </w:p>
    <w:p w14:paraId="40EA3E4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highlight w:val="none"/>
        </w:rPr>
        <w:t>以</w:t>
      </w:r>
      <w:r>
        <w:rPr>
          <w:rFonts w:hint="eastAsia" w:ascii="仿宋" w:hAnsi="仿宋" w:eastAsia="仿宋" w:cs="仿宋"/>
          <w:sz w:val="32"/>
          <w:szCs w:val="32"/>
          <w:highlight w:val="none"/>
          <w:lang w:eastAsia="zh-CN"/>
        </w:rPr>
        <w:t>局属四家福利企业生活费</w:t>
      </w:r>
      <w:r>
        <w:rPr>
          <w:rFonts w:hint="eastAsia" w:ascii="仿宋" w:hAnsi="仿宋" w:eastAsia="仿宋" w:cs="仿宋"/>
          <w:sz w:val="32"/>
          <w:szCs w:val="32"/>
          <w:highlight w:val="none"/>
        </w:rPr>
        <w:t>项目为例，该项目绩效评价综合得分为</w:t>
      </w:r>
      <w:r>
        <w:rPr>
          <w:rFonts w:hint="eastAsia" w:ascii="仿宋" w:hAnsi="仿宋" w:eastAsia="仿宋" w:cs="仿宋"/>
          <w:sz w:val="32"/>
          <w:szCs w:val="32"/>
          <w:highlight w:val="none"/>
          <w:u w:val="single"/>
          <w:lang w:val="en-US" w:eastAsia="zh-CN"/>
        </w:rPr>
        <w:t>100</w:t>
      </w:r>
      <w:r>
        <w:rPr>
          <w:rFonts w:hint="eastAsia" w:ascii="仿宋" w:hAnsi="仿宋" w:eastAsia="仿宋" w:cs="仿宋"/>
          <w:sz w:val="32"/>
          <w:szCs w:val="32"/>
          <w:highlight w:val="none"/>
        </w:rPr>
        <w:t>分，绩效评价结果为“优”。重点项目绩效评价得分情况详见单位具体绩效评价结果。</w:t>
      </w:r>
    </w:p>
    <w:p w14:paraId="1C0FC45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    </w:t>
      </w:r>
    </w:p>
    <w:p w14:paraId="3BC02359">
      <w:pPr>
        <w:spacing w:line="620" w:lineRule="exact"/>
        <w:jc w:val="center"/>
        <w:rPr>
          <w:rFonts w:hint="eastAsia" w:ascii="华文仿宋" w:hAnsi="华文仿宋" w:eastAsia="华文仿宋" w:cs="华文仿宋"/>
          <w:sz w:val="44"/>
        </w:rPr>
      </w:pPr>
      <w:r>
        <w:rPr>
          <w:rFonts w:hint="eastAsia" w:ascii="华文仿宋" w:hAnsi="华文仿宋" w:eastAsia="华文仿宋" w:cs="华文仿宋"/>
          <w:sz w:val="44"/>
          <w:szCs w:val="44"/>
        </w:rPr>
        <w:t>2023</w:t>
      </w:r>
      <w:r>
        <w:rPr>
          <w:rFonts w:hint="eastAsia" w:ascii="华文仿宋" w:hAnsi="华文仿宋" w:eastAsia="华文仿宋" w:cs="华文仿宋"/>
          <w:sz w:val="44"/>
        </w:rPr>
        <w:t>年局属四家福利企业生活费项目</w:t>
      </w:r>
    </w:p>
    <w:p w14:paraId="1EA7B265">
      <w:pPr>
        <w:spacing w:line="620" w:lineRule="exact"/>
        <w:jc w:val="center"/>
        <w:rPr>
          <w:rFonts w:hint="eastAsia" w:ascii="华文仿宋" w:hAnsi="华文仿宋" w:eastAsia="华文仿宋" w:cs="华文仿宋"/>
          <w:sz w:val="44"/>
          <w:szCs w:val="44"/>
        </w:rPr>
      </w:pPr>
      <w:r>
        <w:rPr>
          <w:rFonts w:hint="eastAsia" w:ascii="华文仿宋" w:hAnsi="华文仿宋" w:eastAsia="华文仿宋" w:cs="华文仿宋"/>
          <w:sz w:val="44"/>
        </w:rPr>
        <w:t>绩效自评报告</w:t>
      </w:r>
    </w:p>
    <w:p w14:paraId="6A27AA8C">
      <w:pPr>
        <w:numPr>
          <w:ilvl w:val="0"/>
          <w:numId w:val="0"/>
        </w:numPr>
        <w:spacing w:line="240" w:lineRule="auto"/>
        <w:ind w:firstLine="643" w:firstLineChars="200"/>
        <w:jc w:val="left"/>
        <w:rPr>
          <w:rFonts w:hint="eastAsia" w:ascii="仿宋" w:hAnsi="仿宋" w:eastAsia="仿宋"/>
          <w:b/>
          <w:sz w:val="32"/>
          <w:szCs w:val="32"/>
        </w:rPr>
      </w:pPr>
      <w:r>
        <w:rPr>
          <w:rFonts w:hint="eastAsia" w:ascii="仿宋" w:hAnsi="仿宋" w:eastAsia="仿宋"/>
          <w:b/>
          <w:sz w:val="32"/>
          <w:szCs w:val="32"/>
          <w:lang w:val="en-US" w:eastAsia="zh-CN"/>
        </w:rPr>
        <w:t>一、</w:t>
      </w:r>
      <w:r>
        <w:rPr>
          <w:rFonts w:hint="eastAsia" w:ascii="仿宋" w:hAnsi="仿宋" w:eastAsia="仿宋"/>
          <w:b/>
          <w:sz w:val="32"/>
          <w:szCs w:val="32"/>
        </w:rPr>
        <w:t>项目</w:t>
      </w:r>
      <w:r>
        <w:rPr>
          <w:rFonts w:hint="eastAsia" w:ascii="仿宋" w:hAnsi="仿宋" w:eastAsia="仿宋"/>
          <w:b/>
          <w:sz w:val="32"/>
          <w:szCs w:val="32"/>
          <w:lang w:val="en-US" w:eastAsia="zh-CN"/>
        </w:rPr>
        <w:t>基本</w:t>
      </w:r>
      <w:r>
        <w:rPr>
          <w:rFonts w:hint="eastAsia" w:ascii="仿宋" w:hAnsi="仿宋" w:eastAsia="仿宋"/>
          <w:b/>
          <w:sz w:val="32"/>
          <w:szCs w:val="32"/>
        </w:rPr>
        <w:t>情况</w:t>
      </w:r>
    </w:p>
    <w:p w14:paraId="5FD2EEBA">
      <w:pPr>
        <w:numPr>
          <w:ilvl w:val="0"/>
          <w:numId w:val="0"/>
        </w:numPr>
        <w:spacing w:line="240" w:lineRule="auto"/>
        <w:ind w:leftChars="0" w:firstLine="306" w:firstLineChars="100"/>
        <w:jc w:val="left"/>
        <w:rPr>
          <w:rFonts w:ascii="仿宋" w:hAnsi="仿宋" w:eastAsia="仿宋"/>
          <w:b/>
          <w:sz w:val="32"/>
          <w:szCs w:val="32"/>
        </w:rPr>
      </w:pPr>
      <w:r>
        <w:rPr>
          <w:rFonts w:ascii="仿宋" w:hAnsi="仿宋" w:eastAsia="仿宋" w:cs="仿宋"/>
          <w:spacing w:val="3"/>
          <w:sz w:val="30"/>
          <w:szCs w:val="30"/>
        </w:rPr>
        <w:t>（一）项目基本情况简介。</w:t>
      </w:r>
    </w:p>
    <w:p w14:paraId="4B704136">
      <w:pPr>
        <w:keepNext w:val="0"/>
        <w:keepLines w:val="0"/>
        <w:pageBreakBefore w:val="0"/>
        <w:wordWrap/>
        <w:overflowPunct/>
        <w:topLinePunct w:val="0"/>
        <w:bidi w:val="0"/>
        <w:spacing w:line="580" w:lineRule="exact"/>
        <w:ind w:firstLine="600" w:firstLineChars="200"/>
        <w:rPr>
          <w:rFonts w:hint="eastAsia" w:ascii="华文仿宋" w:hAnsi="华文仿宋" w:eastAsia="华文仿宋" w:cs="华文仿宋"/>
          <w:sz w:val="30"/>
          <w:szCs w:val="30"/>
        </w:rPr>
      </w:pPr>
      <w:r>
        <w:rPr>
          <w:rFonts w:hint="eastAsia" w:ascii="华文仿宋" w:hAnsi="华文仿宋" w:eastAsia="华文仿宋" w:cs="华文仿宋"/>
          <w:sz w:val="30"/>
          <w:szCs w:val="30"/>
        </w:rPr>
        <w:t>民政局转制安置企业托管职工生活费</w:t>
      </w:r>
    </w:p>
    <w:p w14:paraId="73A07754">
      <w:pPr>
        <w:keepNext w:val="0"/>
        <w:keepLines w:val="0"/>
        <w:pageBreakBefore w:val="0"/>
        <w:numPr>
          <w:ilvl w:val="0"/>
          <w:numId w:val="0"/>
        </w:numPr>
        <w:wordWrap/>
        <w:overflowPunct/>
        <w:topLinePunct w:val="0"/>
        <w:bidi w:val="0"/>
        <w:spacing w:before="188" w:line="580" w:lineRule="exact"/>
        <w:ind w:firstLine="306" w:firstLineChars="100"/>
        <w:rPr>
          <w:rFonts w:ascii="仿宋" w:hAnsi="仿宋" w:eastAsia="仿宋" w:cs="仿宋"/>
          <w:spacing w:val="8"/>
          <w:sz w:val="30"/>
          <w:szCs w:val="30"/>
        </w:rPr>
      </w:pPr>
      <w:r>
        <w:rPr>
          <w:rFonts w:ascii="仿宋" w:hAnsi="仿宋" w:eastAsia="仿宋" w:cs="仿宋"/>
          <w:spacing w:val="3"/>
          <w:sz w:val="30"/>
          <w:szCs w:val="30"/>
        </w:rPr>
        <w:t>（</w:t>
      </w:r>
      <w:r>
        <w:rPr>
          <w:rFonts w:hint="eastAsia" w:ascii="仿宋" w:hAnsi="仿宋" w:eastAsia="仿宋" w:cs="仿宋"/>
          <w:spacing w:val="3"/>
          <w:sz w:val="30"/>
          <w:szCs w:val="30"/>
          <w:lang w:val="en-US" w:eastAsia="zh-CN"/>
        </w:rPr>
        <w:t>二</w:t>
      </w:r>
      <w:r>
        <w:rPr>
          <w:rFonts w:ascii="仿宋" w:hAnsi="仿宋" w:eastAsia="仿宋" w:cs="仿宋"/>
          <w:spacing w:val="3"/>
          <w:sz w:val="30"/>
          <w:szCs w:val="30"/>
        </w:rPr>
        <w:t>）</w:t>
      </w:r>
      <w:r>
        <w:rPr>
          <w:rFonts w:ascii="仿宋" w:hAnsi="仿宋" w:eastAsia="仿宋" w:cs="仿宋"/>
          <w:spacing w:val="8"/>
          <w:sz w:val="30"/>
          <w:szCs w:val="30"/>
        </w:rPr>
        <w:t>绩效目标设定及</w:t>
      </w:r>
      <w:r>
        <w:rPr>
          <w:rFonts w:hint="eastAsia" w:ascii="仿宋" w:hAnsi="仿宋" w:eastAsia="仿宋" w:cs="仿宋"/>
          <w:spacing w:val="8"/>
          <w:sz w:val="30"/>
          <w:szCs w:val="30"/>
          <w:lang w:val="en-US" w:eastAsia="zh-CN"/>
        </w:rPr>
        <w:t>指标</w:t>
      </w:r>
      <w:r>
        <w:rPr>
          <w:rFonts w:ascii="仿宋" w:hAnsi="仿宋" w:eastAsia="仿宋" w:cs="仿宋"/>
          <w:spacing w:val="8"/>
          <w:sz w:val="30"/>
          <w:szCs w:val="30"/>
        </w:rPr>
        <w:t>完成情况。</w:t>
      </w:r>
    </w:p>
    <w:p w14:paraId="2BEC385B">
      <w:pPr>
        <w:keepNext w:val="0"/>
        <w:keepLines w:val="0"/>
        <w:pageBreakBefore w:val="0"/>
        <w:widowControl w:val="0"/>
        <w:numPr>
          <w:ilvl w:val="0"/>
          <w:numId w:val="0"/>
        </w:numPr>
        <w:kinsoku/>
        <w:wordWrap/>
        <w:overflowPunct/>
        <w:topLinePunct w:val="0"/>
        <w:autoSpaceDE/>
        <w:autoSpaceDN/>
        <w:bidi w:val="0"/>
        <w:adjustRightInd/>
        <w:snapToGrid/>
        <w:spacing w:before="188" w:line="580" w:lineRule="exact"/>
        <w:ind w:firstLine="632" w:firstLineChars="200"/>
        <w:textAlignment w:val="auto"/>
        <w:rPr>
          <w:rFonts w:hint="eastAsia" w:ascii="仿宋" w:hAnsi="仿宋" w:eastAsia="仿宋" w:cs="仿宋"/>
          <w:color w:val="auto"/>
          <w:spacing w:val="8"/>
          <w:sz w:val="30"/>
          <w:szCs w:val="30"/>
          <w:lang w:val="en-US" w:eastAsia="zh-CN"/>
        </w:rPr>
      </w:pPr>
      <w:r>
        <w:rPr>
          <w:rFonts w:hint="eastAsia" w:ascii="仿宋" w:hAnsi="仿宋" w:eastAsia="仿宋" w:cs="仿宋"/>
          <w:color w:val="auto"/>
          <w:spacing w:val="8"/>
          <w:sz w:val="30"/>
          <w:szCs w:val="30"/>
          <w:lang w:val="en-US" w:eastAsia="zh-CN"/>
        </w:rPr>
        <w:t>预期目标：</w:t>
      </w:r>
      <w:r>
        <w:rPr>
          <w:rFonts w:ascii="仿宋" w:hAnsi="仿宋" w:eastAsia="仿宋" w:cs="仿宋"/>
          <w:color w:val="auto"/>
          <w:spacing w:val="8"/>
          <w:sz w:val="30"/>
        </w:rPr>
        <w:t>及时发放残疾职工和困难职工生活费以减轻生活压力。</w:t>
      </w:r>
    </w:p>
    <w:p w14:paraId="1F1B32E3">
      <w:pPr>
        <w:keepNext w:val="0"/>
        <w:keepLines w:val="0"/>
        <w:pageBreakBefore w:val="0"/>
        <w:numPr>
          <w:ilvl w:val="0"/>
          <w:numId w:val="0"/>
        </w:numPr>
        <w:wordWrap/>
        <w:overflowPunct/>
        <w:topLinePunct w:val="0"/>
        <w:bidi w:val="0"/>
        <w:spacing w:before="188" w:line="580" w:lineRule="exact"/>
        <w:ind w:firstLine="632" w:firstLineChars="200"/>
        <w:rPr>
          <w:rFonts w:hint="default" w:ascii="仿宋" w:hAnsi="仿宋" w:eastAsia="仿宋" w:cs="仿宋"/>
          <w:color w:val="auto"/>
          <w:spacing w:val="8"/>
          <w:sz w:val="30"/>
          <w:szCs w:val="30"/>
          <w:lang w:val="en-US" w:eastAsia="zh-CN"/>
        </w:rPr>
      </w:pPr>
      <w:r>
        <w:rPr>
          <w:rFonts w:hint="eastAsia" w:ascii="仿宋" w:hAnsi="仿宋" w:eastAsia="仿宋" w:cs="仿宋"/>
          <w:color w:val="auto"/>
          <w:spacing w:val="8"/>
          <w:sz w:val="30"/>
          <w:szCs w:val="30"/>
          <w:lang w:val="en-US" w:eastAsia="zh-CN"/>
        </w:rPr>
        <w:t>绩效目标实际完成情况：</w:t>
      </w:r>
      <w:r>
        <w:rPr>
          <w:rFonts w:ascii="仿宋" w:hAnsi="仿宋" w:eastAsia="仿宋" w:cs="仿宋"/>
          <w:color w:val="auto"/>
          <w:spacing w:val="8"/>
          <w:sz w:val="30"/>
        </w:rPr>
        <w:t>按照根据市政府办公会议纪要《研究解决市民政局所属四家福利企业转制职工托管安置遗留问题有关事宜》（[2019]23号）精神会议，对我局转职企业托管职工进行托底安置，全年12个月每月按时发放。</w:t>
      </w:r>
    </w:p>
    <w:p w14:paraId="32A68EE7">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643" w:firstLineChars="200"/>
        <w:textAlignment w:val="auto"/>
        <w:rPr>
          <w:rFonts w:ascii="仿宋" w:hAnsi="仿宋" w:eastAsia="仿宋"/>
          <w:b/>
          <w:sz w:val="32"/>
          <w:szCs w:val="32"/>
        </w:rPr>
      </w:pPr>
      <w:r>
        <w:rPr>
          <w:rFonts w:hint="eastAsia" w:ascii="仿宋" w:hAnsi="仿宋" w:eastAsia="仿宋"/>
          <w:b/>
          <w:sz w:val="32"/>
          <w:szCs w:val="32"/>
          <w:lang w:val="en-US" w:eastAsia="zh-CN"/>
        </w:rPr>
        <w:t>二、绩效自评工作</w:t>
      </w:r>
      <w:r>
        <w:rPr>
          <w:rFonts w:hint="eastAsia" w:ascii="仿宋" w:hAnsi="仿宋" w:eastAsia="仿宋"/>
          <w:b/>
          <w:sz w:val="32"/>
          <w:szCs w:val="32"/>
        </w:rPr>
        <w:t>情况</w:t>
      </w:r>
    </w:p>
    <w:p w14:paraId="28D7C98E">
      <w:pPr>
        <w:keepNext w:val="0"/>
        <w:keepLines w:val="0"/>
        <w:pageBreakBefore w:val="0"/>
        <w:widowControl w:val="0"/>
        <w:numPr>
          <w:ilvl w:val="0"/>
          <w:numId w:val="0"/>
        </w:numPr>
        <w:kinsoku/>
        <w:wordWrap/>
        <w:overflowPunct/>
        <w:topLinePunct w:val="0"/>
        <w:autoSpaceDE/>
        <w:autoSpaceDN/>
        <w:bidi w:val="0"/>
        <w:adjustRightInd/>
        <w:snapToGrid/>
        <w:spacing w:before="188" w:line="580" w:lineRule="exact"/>
        <w:ind w:firstLine="604" w:firstLineChars="200"/>
        <w:textAlignment w:val="auto"/>
        <w:rPr>
          <w:rFonts w:ascii="仿宋" w:hAnsi="仿宋" w:eastAsia="仿宋" w:cs="仿宋"/>
          <w:spacing w:val="1"/>
          <w:sz w:val="30"/>
          <w:szCs w:val="30"/>
        </w:rPr>
      </w:pPr>
      <w:r>
        <w:rPr>
          <w:rFonts w:hint="eastAsia" w:ascii="仿宋" w:hAnsi="仿宋" w:eastAsia="仿宋" w:cs="仿宋"/>
          <w:spacing w:val="1"/>
          <w:sz w:val="30"/>
          <w:szCs w:val="30"/>
          <w:lang w:eastAsia="zh-CN"/>
        </w:rPr>
        <w:t>（</w:t>
      </w:r>
      <w:r>
        <w:rPr>
          <w:rFonts w:hint="eastAsia" w:ascii="仿宋" w:hAnsi="仿宋" w:eastAsia="仿宋" w:cs="仿宋"/>
          <w:spacing w:val="1"/>
          <w:sz w:val="30"/>
          <w:szCs w:val="30"/>
          <w:lang w:val="en-US" w:eastAsia="zh-CN"/>
        </w:rPr>
        <w:t>一</w:t>
      </w:r>
      <w:r>
        <w:rPr>
          <w:rFonts w:hint="eastAsia" w:ascii="仿宋" w:hAnsi="仿宋" w:eastAsia="仿宋" w:cs="仿宋"/>
          <w:spacing w:val="1"/>
          <w:sz w:val="30"/>
          <w:szCs w:val="30"/>
          <w:lang w:eastAsia="zh-CN"/>
        </w:rPr>
        <w:t>）</w:t>
      </w:r>
      <w:r>
        <w:rPr>
          <w:rFonts w:ascii="仿宋" w:hAnsi="仿宋" w:eastAsia="仿宋" w:cs="仿宋"/>
          <w:spacing w:val="1"/>
          <w:sz w:val="30"/>
          <w:szCs w:val="30"/>
        </w:rPr>
        <w:t>绩效自评目的</w:t>
      </w:r>
    </w:p>
    <w:p w14:paraId="138C6C39">
      <w:pPr>
        <w:keepNext w:val="0"/>
        <w:keepLines w:val="0"/>
        <w:pageBreakBefore w:val="0"/>
        <w:widowControl/>
        <w:suppressLineNumbers w:val="0"/>
        <w:wordWrap/>
        <w:overflowPunct/>
        <w:topLinePunct w:val="0"/>
        <w:bidi w:val="0"/>
        <w:spacing w:line="580" w:lineRule="exact"/>
        <w:ind w:firstLine="604" w:firstLineChars="200"/>
        <w:jc w:val="left"/>
        <w:rPr>
          <w:rFonts w:hint="default" w:ascii="仿宋" w:hAnsi="仿宋" w:eastAsia="仿宋" w:cs="仿宋"/>
          <w:spacing w:val="1"/>
          <w:sz w:val="30"/>
          <w:szCs w:val="30"/>
        </w:rPr>
      </w:pPr>
      <w:r>
        <w:rPr>
          <w:rFonts w:hint="default" w:ascii="仿宋" w:hAnsi="仿宋" w:eastAsia="仿宋" w:cs="仿宋"/>
          <w:spacing w:val="1"/>
          <w:sz w:val="30"/>
          <w:szCs w:val="30"/>
        </w:rPr>
        <w:t>通过绩效评价，科学、客观、公正的对2023年度项目资金进行整体综合性评价，反映其社会效益，更好地发挥其政策扶持、引导作用，分析项目各项指标是否达到预期完成情况，评价资金使用的规范性和有效性，并及时总结经验，分析存在问题，提出改进意见和建议，促进本单位提升财政项目资金的预算绩效管理工作水平，强化支出责任，优化资源配置效率，提高财政资金使用效益。</w:t>
      </w:r>
    </w:p>
    <w:p w14:paraId="390C2FF5">
      <w:pPr>
        <w:keepNext w:val="0"/>
        <w:keepLines w:val="0"/>
        <w:pageBreakBefore w:val="0"/>
        <w:numPr>
          <w:ilvl w:val="0"/>
          <w:numId w:val="0"/>
        </w:numPr>
        <w:wordWrap/>
        <w:overflowPunct/>
        <w:topLinePunct w:val="0"/>
        <w:bidi w:val="0"/>
        <w:spacing w:before="189" w:line="580" w:lineRule="exact"/>
        <w:ind w:firstLine="604" w:firstLineChars="200"/>
        <w:rPr>
          <w:rFonts w:ascii="仿宋" w:hAnsi="仿宋" w:eastAsia="仿宋" w:cs="仿宋"/>
          <w:spacing w:val="4"/>
          <w:sz w:val="30"/>
          <w:szCs w:val="30"/>
        </w:rPr>
      </w:pPr>
      <w:r>
        <w:rPr>
          <w:rFonts w:hint="eastAsia" w:ascii="仿宋" w:hAnsi="仿宋" w:eastAsia="仿宋" w:cs="仿宋"/>
          <w:spacing w:val="1"/>
          <w:sz w:val="30"/>
          <w:szCs w:val="30"/>
          <w:lang w:eastAsia="zh-CN"/>
        </w:rPr>
        <w:t>（</w:t>
      </w:r>
      <w:r>
        <w:rPr>
          <w:rFonts w:hint="eastAsia" w:ascii="仿宋" w:hAnsi="仿宋" w:eastAsia="仿宋" w:cs="仿宋"/>
          <w:spacing w:val="1"/>
          <w:sz w:val="30"/>
          <w:szCs w:val="30"/>
          <w:lang w:val="en-US" w:eastAsia="zh-CN"/>
        </w:rPr>
        <w:t>二</w:t>
      </w:r>
      <w:r>
        <w:rPr>
          <w:rFonts w:hint="eastAsia" w:ascii="仿宋" w:hAnsi="仿宋" w:eastAsia="仿宋" w:cs="仿宋"/>
          <w:spacing w:val="1"/>
          <w:sz w:val="30"/>
          <w:szCs w:val="30"/>
          <w:lang w:eastAsia="zh-CN"/>
        </w:rPr>
        <w:t>）</w:t>
      </w:r>
      <w:r>
        <w:rPr>
          <w:rFonts w:ascii="仿宋" w:hAnsi="仿宋" w:eastAsia="仿宋" w:cs="仿宋"/>
          <w:spacing w:val="4"/>
          <w:sz w:val="30"/>
          <w:szCs w:val="30"/>
        </w:rPr>
        <w:t>项目资金投入情况</w:t>
      </w:r>
    </w:p>
    <w:p w14:paraId="5AF52EC5">
      <w:pPr>
        <w:keepNext w:val="0"/>
        <w:keepLines w:val="0"/>
        <w:pageBreakBefore w:val="0"/>
        <w:widowControl/>
        <w:kinsoku w:val="0"/>
        <w:wordWrap/>
        <w:overflowPunct/>
        <w:topLinePunct w:val="0"/>
        <w:autoSpaceDE w:val="0"/>
        <w:autoSpaceDN w:val="0"/>
        <w:bidi w:val="0"/>
        <w:adjustRightInd w:val="0"/>
        <w:snapToGrid w:val="0"/>
        <w:spacing w:before="189" w:line="580" w:lineRule="exact"/>
        <w:ind w:left="0" w:leftChars="0" w:firstLine="616" w:firstLineChars="200"/>
        <w:textAlignment w:val="baseline"/>
        <w:rPr>
          <w:rFonts w:hint="eastAsia" w:ascii="仿宋" w:hAnsi="仿宋" w:eastAsia="仿宋" w:cs="仿宋"/>
          <w:color w:val="auto"/>
          <w:spacing w:val="4"/>
          <w:sz w:val="30"/>
          <w:szCs w:val="30"/>
          <w:lang w:val="en-US" w:eastAsia="zh-CN"/>
        </w:rPr>
      </w:pPr>
      <w:r>
        <w:rPr>
          <w:rFonts w:hint="eastAsia" w:ascii="仿宋" w:hAnsi="仿宋" w:eastAsia="仿宋" w:cs="仿宋"/>
          <w:color w:val="auto"/>
          <w:spacing w:val="4"/>
          <w:sz w:val="30"/>
          <w:szCs w:val="30"/>
          <w:lang w:val="en-US" w:eastAsia="zh-CN"/>
        </w:rPr>
        <w:t>本年度资金年初预算数</w:t>
      </w:r>
      <w:r>
        <w:rPr>
          <w:rFonts w:ascii="仿宋" w:hAnsi="仿宋" w:eastAsia="仿宋" w:cs="仿宋"/>
          <w:color w:val="auto"/>
          <w:spacing w:val="4"/>
          <w:sz w:val="30"/>
        </w:rPr>
        <w:t>108.60万元，其中：财政拨款108.60万元，其他资金0.00万元。</w:t>
      </w:r>
    </w:p>
    <w:p w14:paraId="7C98253B">
      <w:pPr>
        <w:keepNext w:val="0"/>
        <w:keepLines w:val="0"/>
        <w:pageBreakBefore w:val="0"/>
        <w:widowControl/>
        <w:kinsoku w:val="0"/>
        <w:wordWrap/>
        <w:overflowPunct/>
        <w:topLinePunct w:val="0"/>
        <w:autoSpaceDE w:val="0"/>
        <w:autoSpaceDN w:val="0"/>
        <w:bidi w:val="0"/>
        <w:adjustRightInd w:val="0"/>
        <w:snapToGrid w:val="0"/>
        <w:spacing w:before="189" w:line="580" w:lineRule="exact"/>
        <w:ind w:left="0" w:leftChars="0" w:firstLine="616" w:firstLineChars="200"/>
        <w:textAlignment w:val="baseline"/>
        <w:rPr>
          <w:rFonts w:hint="default" w:ascii="仿宋" w:hAnsi="仿宋" w:eastAsia="仿宋" w:cs="仿宋"/>
          <w:color w:val="auto"/>
          <w:spacing w:val="4"/>
          <w:sz w:val="30"/>
          <w:szCs w:val="30"/>
          <w:lang w:val="en-US" w:eastAsia="zh-CN"/>
        </w:rPr>
      </w:pPr>
      <w:r>
        <w:rPr>
          <w:rFonts w:hint="eastAsia" w:ascii="仿宋" w:hAnsi="仿宋" w:eastAsia="仿宋" w:cs="仿宋"/>
          <w:color w:val="auto"/>
          <w:spacing w:val="4"/>
          <w:sz w:val="30"/>
          <w:szCs w:val="30"/>
          <w:lang w:val="en-US" w:eastAsia="zh-CN"/>
        </w:rPr>
        <w:t>本年度资金全年预算数</w:t>
      </w:r>
      <w:r>
        <w:rPr>
          <w:rFonts w:ascii="仿宋" w:hAnsi="仿宋" w:eastAsia="仿宋" w:cs="仿宋"/>
          <w:color w:val="auto"/>
          <w:spacing w:val="4"/>
          <w:sz w:val="30"/>
        </w:rPr>
        <w:t>108.60万元，其中：财政拨款108.60万元，其他资金0万元。</w:t>
      </w:r>
    </w:p>
    <w:p w14:paraId="2B8347F2">
      <w:pPr>
        <w:keepNext w:val="0"/>
        <w:keepLines w:val="0"/>
        <w:pageBreakBefore w:val="0"/>
        <w:numPr>
          <w:ilvl w:val="0"/>
          <w:numId w:val="0"/>
        </w:numPr>
        <w:wordWrap/>
        <w:overflowPunct/>
        <w:topLinePunct w:val="0"/>
        <w:bidi w:val="0"/>
        <w:spacing w:before="189" w:line="580" w:lineRule="exact"/>
        <w:ind w:left="0" w:leftChars="0" w:firstLine="616" w:firstLineChars="200"/>
        <w:rPr>
          <w:rFonts w:ascii="仿宋" w:hAnsi="仿宋" w:eastAsia="仿宋" w:cs="仿宋"/>
          <w:spacing w:val="4"/>
          <w:sz w:val="30"/>
          <w:szCs w:val="30"/>
        </w:rPr>
      </w:pPr>
      <w:r>
        <w:rPr>
          <w:rFonts w:hint="eastAsia" w:ascii="仿宋" w:hAnsi="仿宋" w:eastAsia="仿宋" w:cs="仿宋"/>
          <w:color w:val="auto"/>
          <w:spacing w:val="4"/>
          <w:sz w:val="30"/>
          <w:szCs w:val="30"/>
          <w:lang w:val="en-US" w:eastAsia="zh-CN"/>
        </w:rPr>
        <w:t>本年度资金全年执行数</w:t>
      </w:r>
      <w:r>
        <w:rPr>
          <w:rFonts w:ascii="仿宋" w:hAnsi="仿宋" w:eastAsia="仿宋" w:cs="仿宋"/>
          <w:color w:val="auto"/>
          <w:spacing w:val="4"/>
          <w:sz w:val="30"/>
        </w:rPr>
        <w:t>108.60万元，其中：财政拨款108.60万元，其他资金0.00万元。</w:t>
      </w:r>
    </w:p>
    <w:p w14:paraId="31E99BC4">
      <w:pPr>
        <w:keepNext w:val="0"/>
        <w:keepLines w:val="0"/>
        <w:pageBreakBefore w:val="0"/>
        <w:numPr>
          <w:ilvl w:val="0"/>
          <w:numId w:val="0"/>
        </w:numPr>
        <w:wordWrap/>
        <w:overflowPunct/>
        <w:topLinePunct w:val="0"/>
        <w:bidi w:val="0"/>
        <w:spacing w:before="188" w:line="580" w:lineRule="exact"/>
        <w:ind w:firstLine="604" w:firstLineChars="200"/>
        <w:rPr>
          <w:rFonts w:ascii="仿宋" w:hAnsi="仿宋" w:eastAsia="仿宋" w:cs="仿宋"/>
          <w:spacing w:val="4"/>
          <w:sz w:val="30"/>
          <w:szCs w:val="30"/>
        </w:rPr>
      </w:pPr>
      <w:r>
        <w:rPr>
          <w:rFonts w:hint="eastAsia" w:ascii="仿宋" w:hAnsi="仿宋" w:eastAsia="仿宋" w:cs="仿宋"/>
          <w:spacing w:val="1"/>
          <w:sz w:val="30"/>
          <w:szCs w:val="30"/>
          <w:lang w:eastAsia="zh-CN"/>
        </w:rPr>
        <w:t>（</w:t>
      </w:r>
      <w:r>
        <w:rPr>
          <w:rFonts w:hint="eastAsia" w:ascii="仿宋" w:hAnsi="仿宋" w:eastAsia="仿宋" w:cs="仿宋"/>
          <w:spacing w:val="1"/>
          <w:sz w:val="30"/>
          <w:szCs w:val="30"/>
          <w:lang w:val="en-US" w:eastAsia="zh-CN"/>
        </w:rPr>
        <w:t>二</w:t>
      </w:r>
      <w:r>
        <w:rPr>
          <w:rFonts w:hint="eastAsia" w:ascii="仿宋" w:hAnsi="仿宋" w:eastAsia="仿宋" w:cs="仿宋"/>
          <w:spacing w:val="1"/>
          <w:sz w:val="30"/>
          <w:szCs w:val="30"/>
          <w:lang w:eastAsia="zh-CN"/>
        </w:rPr>
        <w:t>）</w:t>
      </w:r>
      <w:r>
        <w:rPr>
          <w:rFonts w:ascii="仿宋" w:hAnsi="仿宋" w:eastAsia="仿宋" w:cs="仿宋"/>
          <w:spacing w:val="4"/>
          <w:sz w:val="30"/>
          <w:szCs w:val="30"/>
        </w:rPr>
        <w:t>项目资金产出情况。</w:t>
      </w:r>
    </w:p>
    <w:p w14:paraId="68AE8F34">
      <w:pPr>
        <w:keepNext w:val="0"/>
        <w:keepLines w:val="0"/>
        <w:pageBreakBefore w:val="0"/>
        <w:widowControl/>
        <w:suppressLineNumbers w:val="0"/>
        <w:kinsoku/>
        <w:wordWrap/>
        <w:overflowPunct/>
        <w:topLinePunct w:val="0"/>
        <w:autoSpaceDE/>
        <w:autoSpaceDN/>
        <w:bidi w:val="0"/>
        <w:adjustRightInd/>
        <w:snapToGrid/>
        <w:spacing w:line="580" w:lineRule="exact"/>
        <w:ind w:firstLine="604" w:firstLineChars="200"/>
        <w:jc w:val="left"/>
        <w:textAlignment w:val="auto"/>
        <w:rPr>
          <w:rFonts w:ascii="仿宋" w:hAnsi="仿宋" w:eastAsia="仿宋" w:cs="仿宋"/>
          <w:spacing w:val="4"/>
          <w:sz w:val="30"/>
          <w:szCs w:val="30"/>
        </w:rPr>
      </w:pPr>
      <w:r>
        <w:rPr>
          <w:rFonts w:hint="default" w:ascii="仿宋" w:hAnsi="仿宋" w:eastAsia="仿宋" w:cs="仿宋"/>
          <w:spacing w:val="1"/>
          <w:sz w:val="30"/>
          <w:szCs w:val="30"/>
        </w:rPr>
        <w:t>根据市政府办公会议纪要《研究解决市民政局所属四家福利企业转制职工托管安置遗留问题有关事宜》（[2019]23号）精神会议议定，转职企业托管职工绝大部分为残疾职工就业方面比较困难，基本无收入全凭依靠政府社会救助，按照劳动法用人单位社会保障缴费相关规定单位部分由单位承担，个人部分由工资收入承担，由于企业倒闭早已无法承担工资发放，通过企业改制由市政府会议议定每人每月发放生活费448元用于个人部分扣取社保费缴纳，以减轻残疾职工生活压力。</w:t>
      </w:r>
    </w:p>
    <w:p w14:paraId="5FD79C31">
      <w:pPr>
        <w:keepNext w:val="0"/>
        <w:keepLines w:val="0"/>
        <w:pageBreakBefore w:val="0"/>
        <w:numPr>
          <w:ilvl w:val="0"/>
          <w:numId w:val="0"/>
        </w:numPr>
        <w:wordWrap/>
        <w:overflowPunct/>
        <w:topLinePunct w:val="0"/>
        <w:bidi w:val="0"/>
        <w:spacing w:before="189" w:line="580" w:lineRule="exact"/>
        <w:ind w:firstLine="604" w:firstLineChars="200"/>
        <w:rPr>
          <w:rFonts w:ascii="仿宋" w:hAnsi="仿宋" w:eastAsia="仿宋" w:cs="仿宋"/>
          <w:spacing w:val="2"/>
          <w:sz w:val="30"/>
          <w:szCs w:val="30"/>
        </w:rPr>
      </w:pPr>
      <w:r>
        <w:rPr>
          <w:rFonts w:hint="eastAsia" w:ascii="仿宋" w:hAnsi="仿宋" w:eastAsia="仿宋" w:cs="仿宋"/>
          <w:spacing w:val="1"/>
          <w:sz w:val="30"/>
          <w:szCs w:val="30"/>
          <w:lang w:eastAsia="zh-CN"/>
        </w:rPr>
        <w:t>（</w:t>
      </w:r>
      <w:r>
        <w:rPr>
          <w:rFonts w:hint="eastAsia" w:ascii="仿宋" w:hAnsi="仿宋" w:eastAsia="仿宋" w:cs="仿宋"/>
          <w:spacing w:val="1"/>
          <w:sz w:val="30"/>
          <w:szCs w:val="30"/>
          <w:lang w:val="en-US" w:eastAsia="zh-CN"/>
        </w:rPr>
        <w:t>三</w:t>
      </w:r>
      <w:r>
        <w:rPr>
          <w:rFonts w:hint="eastAsia" w:ascii="仿宋" w:hAnsi="仿宋" w:eastAsia="仿宋" w:cs="仿宋"/>
          <w:spacing w:val="1"/>
          <w:sz w:val="30"/>
          <w:szCs w:val="30"/>
          <w:lang w:eastAsia="zh-CN"/>
        </w:rPr>
        <w:t>）</w:t>
      </w:r>
      <w:r>
        <w:rPr>
          <w:rFonts w:ascii="仿宋" w:hAnsi="仿宋" w:eastAsia="仿宋" w:cs="仿宋"/>
          <w:spacing w:val="2"/>
          <w:sz w:val="30"/>
          <w:szCs w:val="30"/>
        </w:rPr>
        <w:t>项目资金管理情况。</w:t>
      </w:r>
    </w:p>
    <w:p w14:paraId="7F0AEEF1">
      <w:pPr>
        <w:keepNext w:val="0"/>
        <w:keepLines w:val="0"/>
        <w:pageBreakBefore w:val="0"/>
        <w:widowControl/>
        <w:suppressLineNumbers w:val="0"/>
        <w:kinsoku/>
        <w:wordWrap/>
        <w:overflowPunct/>
        <w:topLinePunct w:val="0"/>
        <w:autoSpaceDE/>
        <w:autoSpaceDN/>
        <w:bidi w:val="0"/>
        <w:adjustRightInd/>
        <w:snapToGrid/>
        <w:spacing w:line="580" w:lineRule="exact"/>
        <w:ind w:firstLine="604" w:firstLineChars="200"/>
        <w:jc w:val="left"/>
        <w:textAlignment w:val="auto"/>
        <w:rPr>
          <w:rFonts w:hint="default" w:ascii="仿宋" w:hAnsi="仿宋" w:eastAsia="仿宋" w:cs="仿宋"/>
          <w:spacing w:val="1"/>
          <w:sz w:val="30"/>
          <w:szCs w:val="30"/>
        </w:rPr>
      </w:pPr>
      <w:r>
        <w:rPr>
          <w:rFonts w:hint="default" w:ascii="仿宋" w:hAnsi="仿宋" w:eastAsia="仿宋" w:cs="仿宋"/>
          <w:spacing w:val="1"/>
          <w:sz w:val="30"/>
          <w:szCs w:val="30"/>
        </w:rPr>
        <w:t>重视和规范财务管理，建立健全了财务制度。财务人员认真学习和贯彻国家财经法规和政策，严把财务“入口关”和“出口关”，确保残保障金占用、挪用绝对用于残疾人保障金缴纳事业，坚决杜绝任何财经违纪现象发生。按照实际发生支出来进行会计核算，原始凭证真实反映项目成效，支出手续齐全，及时登记入账，按时做好项目资金的预、决算，按程序上报财政部门。</w:t>
      </w:r>
    </w:p>
    <w:p w14:paraId="2646945A">
      <w:pPr>
        <w:keepNext w:val="0"/>
        <w:keepLines w:val="0"/>
        <w:pageBreakBefore w:val="0"/>
        <w:numPr>
          <w:ilvl w:val="0"/>
          <w:numId w:val="0"/>
        </w:numPr>
        <w:wordWrap/>
        <w:overflowPunct/>
        <w:topLinePunct w:val="0"/>
        <w:bidi w:val="0"/>
        <w:spacing w:line="580" w:lineRule="exact"/>
        <w:ind w:leftChars="0" w:firstLine="643" w:firstLineChars="200"/>
        <w:rPr>
          <w:rFonts w:ascii="仿宋" w:hAnsi="仿宋" w:eastAsia="仿宋"/>
          <w:b/>
          <w:sz w:val="32"/>
          <w:szCs w:val="32"/>
        </w:rPr>
      </w:pPr>
      <w:r>
        <w:rPr>
          <w:rFonts w:hint="eastAsia" w:ascii="仿宋" w:hAnsi="仿宋" w:eastAsia="仿宋"/>
          <w:b/>
          <w:sz w:val="32"/>
          <w:szCs w:val="32"/>
          <w:lang w:val="en-US" w:eastAsia="zh-CN"/>
        </w:rPr>
        <w:t>三、项目绩效情况</w:t>
      </w:r>
    </w:p>
    <w:p w14:paraId="64043A4F">
      <w:pPr>
        <w:keepNext w:val="0"/>
        <w:keepLines w:val="0"/>
        <w:pageBreakBefore w:val="0"/>
        <w:wordWrap/>
        <w:overflowPunct/>
        <w:topLinePunct w:val="0"/>
        <w:bidi w:val="0"/>
        <w:spacing w:line="580" w:lineRule="exact"/>
        <w:ind w:left="420" w:leftChars="200" w:firstLine="0" w:firstLineChars="0"/>
        <w:rPr>
          <w:rFonts w:ascii="仿宋" w:hAnsi="仿宋" w:eastAsia="仿宋"/>
          <w:sz w:val="32"/>
          <w:szCs w:val="32"/>
        </w:rPr>
      </w:pPr>
      <w:r>
        <w:rPr>
          <w:rFonts w:ascii="仿宋" w:hAnsi="仿宋" w:eastAsia="仿宋" w:cs="仿宋"/>
          <w:sz w:val="32"/>
        </w:rPr>
        <w:t>(一) 产出指标完成情况</w:t>
      </w:r>
    </w:p>
    <w:p w14:paraId="7747836C">
      <w:pPr>
        <w:keepNext w:val="0"/>
        <w:keepLines w:val="0"/>
        <w:pageBreakBefore w:val="0"/>
        <w:wordWrap/>
        <w:overflowPunct/>
        <w:topLinePunct w:val="0"/>
        <w:bidi w:val="0"/>
        <w:spacing w:line="580" w:lineRule="exact"/>
        <w:ind w:left="420" w:leftChars="200" w:firstLine="320" w:firstLineChars="100"/>
        <w:rPr>
          <w:rFonts w:ascii="仿宋" w:hAnsi="仿宋" w:eastAsia="仿宋"/>
          <w:sz w:val="32"/>
          <w:szCs w:val="32"/>
        </w:rPr>
      </w:pPr>
      <w:r>
        <w:rPr>
          <w:rFonts w:ascii="仿宋" w:hAnsi="仿宋" w:eastAsia="仿宋" w:cs="仿宋"/>
          <w:sz w:val="32"/>
        </w:rPr>
        <w:t>1</w:t>
      </w:r>
      <w:r>
        <w:rPr>
          <w:rFonts w:hint="eastAsia" w:ascii="仿宋" w:hAnsi="仿宋" w:eastAsia="仿宋" w:cs="仿宋"/>
          <w:sz w:val="32"/>
          <w:lang w:eastAsia="zh-CN"/>
        </w:rPr>
        <w:t>、</w:t>
      </w:r>
      <w:r>
        <w:rPr>
          <w:rFonts w:ascii="仿宋" w:hAnsi="仿宋" w:eastAsia="仿宋" w:cs="仿宋"/>
          <w:sz w:val="32"/>
        </w:rPr>
        <w:t>数量指标</w:t>
      </w:r>
    </w:p>
    <w:p w14:paraId="5D23806B">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ascii="仿宋" w:hAnsi="仿宋" w:eastAsia="仿宋"/>
          <w:sz w:val="32"/>
          <w:szCs w:val="32"/>
        </w:rPr>
      </w:pPr>
      <w:r>
        <w:rPr>
          <w:rFonts w:ascii="仿宋" w:hAnsi="仿宋" w:eastAsia="仿宋" w:cs="仿宋"/>
          <w:sz w:val="32"/>
        </w:rPr>
        <w:t>1)托管职工生活费发放次数，目标值</w:t>
      </w:r>
      <w:r>
        <w:rPr>
          <w:rFonts w:hint="eastAsia" w:ascii="仿宋" w:hAnsi="仿宋" w:eastAsia="仿宋"/>
          <w:sz w:val="32"/>
          <w:szCs w:val="32"/>
          <w:lang w:val="en-US" w:eastAsia="zh-CN"/>
        </w:rPr>
        <w:t>等于</w:t>
      </w:r>
      <w:r>
        <w:rPr>
          <w:rFonts w:hint="eastAsia" w:ascii="仿宋" w:hAnsi="仿宋" w:eastAsia="仿宋"/>
          <w:sz w:val="32"/>
          <w:szCs w:val="32"/>
        </w:rPr>
        <w:t>1</w:t>
      </w:r>
      <w:r>
        <w:rPr>
          <w:rFonts w:ascii="仿宋" w:hAnsi="仿宋" w:eastAsia="仿宋" w:cs="仿宋"/>
          <w:sz w:val="32"/>
        </w:rPr>
        <w:t>次/月，</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1次/月，分值7，得分7</w:t>
      </w:r>
      <w:r>
        <w:rPr>
          <w:rFonts w:hint="eastAsia" w:ascii="仿宋" w:hAnsi="仿宋" w:eastAsia="仿宋"/>
          <w:sz w:val="32"/>
          <w:szCs w:val="32"/>
        </w:rPr>
        <w:t>。</w:t>
      </w:r>
    </w:p>
    <w:p w14:paraId="6540D410">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ascii="仿宋" w:hAnsi="仿宋" w:eastAsia="仿宋"/>
          <w:sz w:val="32"/>
          <w:szCs w:val="32"/>
        </w:rPr>
      </w:pPr>
      <w:r>
        <w:rPr>
          <w:rFonts w:ascii="仿宋" w:hAnsi="仿宋" w:eastAsia="仿宋" w:cs="仿宋"/>
          <w:sz w:val="32"/>
        </w:rPr>
        <w:t>2)托管职工人数，目标值</w:t>
      </w:r>
      <w:r>
        <w:rPr>
          <w:rFonts w:hint="eastAsia" w:ascii="仿宋" w:hAnsi="仿宋" w:eastAsia="仿宋"/>
          <w:sz w:val="32"/>
          <w:szCs w:val="32"/>
          <w:lang w:val="en-US" w:eastAsia="zh-CN"/>
        </w:rPr>
        <w:t>等于</w:t>
      </w:r>
      <w:r>
        <w:rPr>
          <w:rFonts w:hint="eastAsia" w:ascii="仿宋" w:hAnsi="仿宋" w:eastAsia="仿宋"/>
          <w:sz w:val="32"/>
          <w:szCs w:val="32"/>
        </w:rPr>
        <w:t>202</w:t>
      </w:r>
      <w:r>
        <w:rPr>
          <w:rFonts w:ascii="仿宋" w:hAnsi="仿宋" w:eastAsia="仿宋" w:cs="仿宋"/>
          <w:sz w:val="32"/>
        </w:rPr>
        <w:t>人，</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202人，分值7，得分7</w:t>
      </w:r>
      <w:r>
        <w:rPr>
          <w:rFonts w:hint="eastAsia" w:ascii="仿宋" w:hAnsi="仿宋" w:eastAsia="仿宋"/>
          <w:sz w:val="32"/>
          <w:szCs w:val="32"/>
        </w:rPr>
        <w:t>。</w:t>
      </w:r>
    </w:p>
    <w:p w14:paraId="0A5BCEA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rPr>
      </w:pPr>
      <w:r>
        <w:rPr>
          <w:rFonts w:hint="eastAsia" w:ascii="仿宋" w:hAnsi="仿宋" w:eastAsia="仿宋" w:cs="仿宋"/>
          <w:sz w:val="32"/>
          <w:lang w:val="en-US" w:eastAsia="zh-CN"/>
        </w:rPr>
        <w:t>2、</w:t>
      </w:r>
      <w:r>
        <w:rPr>
          <w:rFonts w:ascii="仿宋" w:hAnsi="仿宋" w:eastAsia="仿宋" w:cs="仿宋"/>
          <w:sz w:val="32"/>
        </w:rPr>
        <w:t>质量指标</w:t>
      </w:r>
    </w:p>
    <w:p w14:paraId="75A8910B">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ascii="仿宋" w:hAnsi="仿宋" w:eastAsia="仿宋"/>
          <w:sz w:val="32"/>
          <w:szCs w:val="32"/>
        </w:rPr>
      </w:pPr>
      <w:r>
        <w:rPr>
          <w:rFonts w:ascii="仿宋" w:hAnsi="仿宋" w:eastAsia="仿宋" w:cs="仿宋"/>
          <w:sz w:val="32"/>
        </w:rPr>
        <w:t>3)生活费领取对象准确率，目标值</w:t>
      </w:r>
      <w:r>
        <w:rPr>
          <w:rFonts w:hint="eastAsia" w:ascii="仿宋" w:hAnsi="仿宋" w:eastAsia="仿宋"/>
          <w:sz w:val="32"/>
          <w:szCs w:val="32"/>
          <w:lang w:val="en-US" w:eastAsia="zh-CN"/>
        </w:rPr>
        <w:t>等于</w:t>
      </w:r>
      <w:r>
        <w:rPr>
          <w:rFonts w:hint="eastAsia" w:ascii="仿宋" w:hAnsi="仿宋" w:eastAsia="仿宋"/>
          <w:sz w:val="32"/>
          <w:szCs w:val="32"/>
        </w:rPr>
        <w:t>100</w:t>
      </w:r>
      <w:r>
        <w:rPr>
          <w:rFonts w:ascii="仿宋" w:hAnsi="仿宋" w:eastAsia="仿宋" w:cs="仿宋"/>
          <w:sz w:val="32"/>
        </w:rPr>
        <w:t>%，</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100%，分值7，得分7</w:t>
      </w:r>
      <w:r>
        <w:rPr>
          <w:rFonts w:hint="eastAsia" w:ascii="仿宋" w:hAnsi="仿宋" w:eastAsia="仿宋"/>
          <w:sz w:val="32"/>
          <w:szCs w:val="32"/>
        </w:rPr>
        <w:t>。</w:t>
      </w:r>
    </w:p>
    <w:p w14:paraId="379FCF2B">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ascii="仿宋" w:hAnsi="仿宋" w:eastAsia="仿宋"/>
          <w:sz w:val="32"/>
          <w:szCs w:val="32"/>
        </w:rPr>
      </w:pPr>
      <w:r>
        <w:rPr>
          <w:rFonts w:ascii="仿宋" w:hAnsi="仿宋" w:eastAsia="仿宋" w:cs="仿宋"/>
          <w:sz w:val="32"/>
        </w:rPr>
        <w:t>3、时效指标</w:t>
      </w:r>
    </w:p>
    <w:p w14:paraId="005498CE">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ascii="仿宋" w:hAnsi="仿宋" w:eastAsia="仿宋"/>
          <w:sz w:val="32"/>
          <w:szCs w:val="32"/>
        </w:rPr>
      </w:pPr>
      <w:r>
        <w:rPr>
          <w:rFonts w:ascii="仿宋" w:hAnsi="仿宋" w:eastAsia="仿宋" w:cs="仿宋"/>
          <w:sz w:val="32"/>
        </w:rPr>
        <w:t>4)生活费发放及时率，目标值</w:t>
      </w:r>
      <w:r>
        <w:rPr>
          <w:rFonts w:hint="eastAsia" w:ascii="仿宋" w:hAnsi="仿宋" w:eastAsia="仿宋"/>
          <w:sz w:val="32"/>
          <w:szCs w:val="32"/>
          <w:lang w:val="en-US" w:eastAsia="zh-CN"/>
        </w:rPr>
        <w:t>大于等于</w:t>
      </w:r>
      <w:r>
        <w:rPr>
          <w:rFonts w:hint="eastAsia" w:ascii="仿宋" w:hAnsi="仿宋" w:eastAsia="仿宋"/>
          <w:sz w:val="32"/>
          <w:szCs w:val="32"/>
        </w:rPr>
        <w:t>100</w:t>
      </w:r>
      <w:r>
        <w:rPr>
          <w:rFonts w:ascii="仿宋" w:hAnsi="仿宋" w:eastAsia="仿宋" w:cs="仿宋"/>
          <w:sz w:val="32"/>
        </w:rPr>
        <w:t>%，</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100%，分值7，得分7</w:t>
      </w:r>
      <w:r>
        <w:rPr>
          <w:rFonts w:hint="eastAsia" w:ascii="仿宋" w:hAnsi="仿宋" w:eastAsia="仿宋"/>
          <w:sz w:val="32"/>
          <w:szCs w:val="32"/>
        </w:rPr>
        <w:t>。</w:t>
      </w:r>
    </w:p>
    <w:p w14:paraId="02B9EB35">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ascii="仿宋" w:hAnsi="仿宋" w:eastAsia="仿宋"/>
          <w:sz w:val="32"/>
          <w:szCs w:val="32"/>
        </w:rPr>
      </w:pPr>
      <w:r>
        <w:rPr>
          <w:rFonts w:ascii="仿宋" w:hAnsi="仿宋" w:eastAsia="仿宋" w:cs="仿宋"/>
          <w:sz w:val="32"/>
        </w:rPr>
        <w:t>5)项目工作完成时间，目标值</w:t>
      </w:r>
      <w:r>
        <w:rPr>
          <w:rFonts w:hint="eastAsia" w:ascii="仿宋" w:hAnsi="仿宋" w:eastAsia="仿宋"/>
          <w:sz w:val="32"/>
          <w:szCs w:val="32"/>
        </w:rPr>
        <w:t>2023年12月31日前</w:t>
      </w:r>
      <w:r>
        <w:rPr>
          <w:rFonts w:ascii="仿宋" w:hAnsi="仿宋" w:eastAsia="仿宋" w:cs="仿宋"/>
          <w:sz w:val="32"/>
        </w:rPr>
        <w:t>，</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2023年12月4日，分值7，得分7</w:t>
      </w:r>
      <w:r>
        <w:rPr>
          <w:rFonts w:hint="eastAsia" w:ascii="仿宋" w:hAnsi="仿宋" w:eastAsia="仿宋"/>
          <w:sz w:val="32"/>
          <w:szCs w:val="32"/>
        </w:rPr>
        <w:t>。</w:t>
      </w:r>
    </w:p>
    <w:p w14:paraId="7DF58096">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ascii="仿宋" w:hAnsi="仿宋" w:eastAsia="仿宋"/>
          <w:sz w:val="32"/>
          <w:szCs w:val="32"/>
        </w:rPr>
      </w:pPr>
      <w:r>
        <w:rPr>
          <w:rFonts w:ascii="仿宋" w:hAnsi="仿宋" w:eastAsia="仿宋" w:cs="仿宋"/>
          <w:sz w:val="32"/>
        </w:rPr>
        <w:t>4、成本指标</w:t>
      </w:r>
    </w:p>
    <w:p w14:paraId="24C556F4">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ascii="仿宋" w:hAnsi="仿宋" w:eastAsia="仿宋"/>
          <w:sz w:val="32"/>
          <w:szCs w:val="32"/>
        </w:rPr>
      </w:pPr>
      <w:r>
        <w:rPr>
          <w:rFonts w:ascii="仿宋" w:hAnsi="仿宋" w:eastAsia="仿宋" w:cs="仿宋"/>
          <w:sz w:val="32"/>
        </w:rPr>
        <w:t>6)发放生活费每月每人金额，目标值</w:t>
      </w:r>
      <w:r>
        <w:rPr>
          <w:rFonts w:hint="eastAsia" w:ascii="仿宋" w:hAnsi="仿宋" w:eastAsia="仿宋"/>
          <w:sz w:val="32"/>
          <w:szCs w:val="32"/>
          <w:lang w:val="en-US" w:eastAsia="zh-CN"/>
        </w:rPr>
        <w:t>等于</w:t>
      </w:r>
      <w:r>
        <w:rPr>
          <w:rFonts w:hint="eastAsia" w:ascii="仿宋" w:hAnsi="仿宋" w:eastAsia="仿宋"/>
          <w:sz w:val="32"/>
          <w:szCs w:val="32"/>
        </w:rPr>
        <w:t>448</w:t>
      </w:r>
      <w:r>
        <w:rPr>
          <w:rFonts w:ascii="仿宋" w:hAnsi="仿宋" w:eastAsia="仿宋" w:cs="仿宋"/>
          <w:sz w:val="32"/>
        </w:rPr>
        <w:t>元，</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448元，分值7，得分7</w:t>
      </w:r>
      <w:r>
        <w:rPr>
          <w:rFonts w:hint="eastAsia" w:ascii="仿宋" w:hAnsi="仿宋" w:eastAsia="仿宋"/>
          <w:sz w:val="32"/>
          <w:szCs w:val="32"/>
        </w:rPr>
        <w:t>。</w:t>
      </w:r>
    </w:p>
    <w:p w14:paraId="39012F11">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ascii="仿宋" w:hAnsi="仿宋" w:eastAsia="仿宋"/>
          <w:sz w:val="32"/>
          <w:szCs w:val="32"/>
        </w:rPr>
      </w:pPr>
      <w:r>
        <w:rPr>
          <w:rFonts w:ascii="仿宋" w:hAnsi="仿宋" w:eastAsia="仿宋" w:cs="仿宋"/>
          <w:sz w:val="32"/>
        </w:rPr>
        <w:t>7)项目总成本，目标值</w:t>
      </w:r>
      <w:r>
        <w:rPr>
          <w:rFonts w:hint="eastAsia" w:ascii="仿宋" w:hAnsi="仿宋" w:eastAsia="仿宋"/>
          <w:sz w:val="32"/>
          <w:szCs w:val="32"/>
          <w:lang w:val="en-US" w:eastAsia="zh-CN"/>
        </w:rPr>
        <w:t>小于等于</w:t>
      </w:r>
      <w:r>
        <w:rPr>
          <w:rFonts w:hint="eastAsia" w:ascii="仿宋" w:hAnsi="仿宋" w:eastAsia="仿宋"/>
          <w:sz w:val="32"/>
          <w:szCs w:val="32"/>
        </w:rPr>
        <w:t>108.6</w:t>
      </w:r>
      <w:r>
        <w:rPr>
          <w:rFonts w:ascii="仿宋" w:hAnsi="仿宋" w:eastAsia="仿宋" w:cs="仿宋"/>
          <w:sz w:val="32"/>
        </w:rPr>
        <w:t>万元，</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108.6万元，分值8，得分8</w:t>
      </w:r>
      <w:r>
        <w:rPr>
          <w:rFonts w:hint="eastAsia" w:ascii="仿宋" w:hAnsi="仿宋" w:eastAsia="仿宋"/>
          <w:sz w:val="32"/>
          <w:szCs w:val="32"/>
        </w:rPr>
        <w:t>。</w:t>
      </w:r>
    </w:p>
    <w:p w14:paraId="66509A32">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ascii="仿宋" w:hAnsi="仿宋" w:eastAsia="仿宋"/>
          <w:sz w:val="32"/>
          <w:szCs w:val="32"/>
        </w:rPr>
      </w:pPr>
      <w:r>
        <w:rPr>
          <w:rFonts w:ascii="仿宋" w:hAnsi="仿宋" w:eastAsia="仿宋" w:cs="仿宋"/>
          <w:sz w:val="32"/>
        </w:rPr>
        <w:t>(二) 效益指标完成情况</w:t>
      </w:r>
    </w:p>
    <w:p w14:paraId="51FA9949">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ascii="仿宋" w:hAnsi="仿宋" w:eastAsia="仿宋"/>
          <w:sz w:val="32"/>
          <w:szCs w:val="32"/>
        </w:rPr>
      </w:pPr>
      <w:r>
        <w:rPr>
          <w:rFonts w:ascii="仿宋" w:hAnsi="仿宋" w:eastAsia="仿宋" w:cs="仿宋"/>
          <w:sz w:val="32"/>
        </w:rPr>
        <w:t>5、经济效益</w:t>
      </w:r>
    </w:p>
    <w:p w14:paraId="30BB09EB">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ascii="仿宋" w:hAnsi="仿宋" w:eastAsia="仿宋"/>
          <w:sz w:val="32"/>
          <w:szCs w:val="32"/>
        </w:rPr>
      </w:pPr>
      <w:r>
        <w:rPr>
          <w:rFonts w:ascii="仿宋" w:hAnsi="仿宋" w:eastAsia="仿宋" w:cs="仿宋"/>
          <w:sz w:val="32"/>
        </w:rPr>
        <w:t>6、社会效益</w:t>
      </w:r>
    </w:p>
    <w:p w14:paraId="0D2C4E38">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ascii="仿宋" w:hAnsi="仿宋" w:eastAsia="仿宋"/>
          <w:sz w:val="32"/>
          <w:szCs w:val="32"/>
        </w:rPr>
      </w:pPr>
      <w:r>
        <w:rPr>
          <w:rFonts w:ascii="仿宋" w:hAnsi="仿宋" w:eastAsia="仿宋" w:cs="仿宋"/>
          <w:sz w:val="32"/>
        </w:rPr>
        <w:t>8)保障生活费发放人员生活水平，目标值</w:t>
      </w:r>
      <w:r>
        <w:rPr>
          <w:rFonts w:hint="eastAsia" w:ascii="仿宋" w:hAnsi="仿宋" w:eastAsia="仿宋"/>
          <w:sz w:val="32"/>
          <w:szCs w:val="32"/>
        </w:rPr>
        <w:t>显著</w:t>
      </w:r>
      <w:r>
        <w:rPr>
          <w:rFonts w:ascii="仿宋" w:hAnsi="仿宋" w:eastAsia="仿宋" w:cs="仿宋"/>
          <w:sz w:val="32"/>
        </w:rPr>
        <w:t>，</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显著，分值10，得分10</w:t>
      </w:r>
      <w:r>
        <w:rPr>
          <w:rFonts w:hint="eastAsia" w:ascii="仿宋" w:hAnsi="仿宋" w:eastAsia="仿宋"/>
          <w:sz w:val="32"/>
          <w:szCs w:val="32"/>
        </w:rPr>
        <w:t>。</w:t>
      </w:r>
    </w:p>
    <w:p w14:paraId="0C1D3806">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ascii="仿宋" w:hAnsi="仿宋" w:eastAsia="仿宋"/>
          <w:sz w:val="32"/>
          <w:szCs w:val="32"/>
        </w:rPr>
      </w:pPr>
      <w:r>
        <w:rPr>
          <w:rFonts w:ascii="仿宋" w:hAnsi="仿宋" w:eastAsia="仿宋" w:cs="仿宋"/>
          <w:sz w:val="32"/>
        </w:rPr>
        <w:t>9)通过生活费发放起到残疾职工和困难职工生活压力减轻，目标值</w:t>
      </w:r>
      <w:r>
        <w:rPr>
          <w:rFonts w:hint="eastAsia" w:ascii="仿宋" w:hAnsi="仿宋" w:eastAsia="仿宋"/>
          <w:sz w:val="32"/>
          <w:szCs w:val="32"/>
        </w:rPr>
        <w:t>显著</w:t>
      </w:r>
      <w:r>
        <w:rPr>
          <w:rFonts w:ascii="仿宋" w:hAnsi="仿宋" w:eastAsia="仿宋" w:cs="仿宋"/>
          <w:sz w:val="32"/>
        </w:rPr>
        <w:t>，</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显著，分值10，得分10</w:t>
      </w:r>
      <w:r>
        <w:rPr>
          <w:rFonts w:hint="eastAsia" w:ascii="仿宋" w:hAnsi="仿宋" w:eastAsia="仿宋"/>
          <w:sz w:val="32"/>
          <w:szCs w:val="32"/>
        </w:rPr>
        <w:t>。</w:t>
      </w:r>
    </w:p>
    <w:p w14:paraId="07B22BE0">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ascii="仿宋" w:hAnsi="仿宋" w:eastAsia="仿宋"/>
          <w:sz w:val="32"/>
          <w:szCs w:val="32"/>
        </w:rPr>
      </w:pPr>
      <w:r>
        <w:rPr>
          <w:rFonts w:ascii="仿宋" w:hAnsi="仿宋" w:eastAsia="仿宋" w:cs="仿宋"/>
          <w:sz w:val="32"/>
        </w:rPr>
        <w:t>7、生态效益</w:t>
      </w:r>
    </w:p>
    <w:p w14:paraId="54117594">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ascii="仿宋" w:hAnsi="仿宋" w:eastAsia="仿宋"/>
          <w:sz w:val="32"/>
          <w:szCs w:val="32"/>
        </w:rPr>
      </w:pPr>
      <w:r>
        <w:rPr>
          <w:rFonts w:ascii="仿宋" w:hAnsi="仿宋" w:eastAsia="仿宋" w:cs="仿宋"/>
          <w:sz w:val="32"/>
        </w:rPr>
        <w:t>8、可持续影响</w:t>
      </w:r>
    </w:p>
    <w:p w14:paraId="609166AB">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ascii="仿宋" w:hAnsi="仿宋" w:eastAsia="仿宋"/>
          <w:sz w:val="32"/>
          <w:szCs w:val="32"/>
        </w:rPr>
      </w:pPr>
      <w:r>
        <w:rPr>
          <w:rFonts w:ascii="仿宋" w:hAnsi="仿宋" w:eastAsia="仿宋" w:cs="仿宋"/>
          <w:sz w:val="32"/>
        </w:rPr>
        <w:t>10)促进项目工作有序运行，目标值</w:t>
      </w:r>
      <w:r>
        <w:rPr>
          <w:rFonts w:hint="eastAsia" w:ascii="仿宋" w:hAnsi="仿宋" w:eastAsia="仿宋"/>
          <w:sz w:val="32"/>
          <w:szCs w:val="32"/>
        </w:rPr>
        <w:t>显著</w:t>
      </w:r>
      <w:r>
        <w:rPr>
          <w:rFonts w:ascii="仿宋" w:hAnsi="仿宋" w:eastAsia="仿宋" w:cs="仿宋"/>
          <w:sz w:val="32"/>
        </w:rPr>
        <w:t>，</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显著，分值10，得分10</w:t>
      </w:r>
      <w:r>
        <w:rPr>
          <w:rFonts w:hint="eastAsia" w:ascii="仿宋" w:hAnsi="仿宋" w:eastAsia="仿宋"/>
          <w:sz w:val="32"/>
          <w:szCs w:val="32"/>
        </w:rPr>
        <w:t>。</w:t>
      </w:r>
    </w:p>
    <w:p w14:paraId="04C28F24">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ascii="仿宋" w:hAnsi="仿宋" w:eastAsia="仿宋"/>
          <w:sz w:val="32"/>
          <w:szCs w:val="32"/>
        </w:rPr>
      </w:pPr>
      <w:r>
        <w:rPr>
          <w:rFonts w:ascii="仿宋" w:hAnsi="仿宋" w:eastAsia="仿宋" w:cs="仿宋"/>
          <w:sz w:val="32"/>
        </w:rPr>
        <w:t>(三)满意度指标完成情况</w:t>
      </w:r>
    </w:p>
    <w:p w14:paraId="0AF28FB7">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ascii="仿宋" w:hAnsi="仿宋" w:eastAsia="仿宋"/>
          <w:sz w:val="32"/>
          <w:szCs w:val="32"/>
        </w:rPr>
      </w:pPr>
      <w:r>
        <w:rPr>
          <w:rFonts w:ascii="仿宋" w:hAnsi="仿宋" w:eastAsia="仿宋" w:cs="仿宋"/>
          <w:sz w:val="32"/>
        </w:rPr>
        <w:t>9、服务对象满意度</w:t>
      </w:r>
    </w:p>
    <w:p w14:paraId="646B8D79">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sz w:val="32"/>
          <w:szCs w:val="32"/>
        </w:rPr>
      </w:pPr>
      <w:r>
        <w:rPr>
          <w:rFonts w:ascii="仿宋" w:hAnsi="仿宋" w:eastAsia="仿宋" w:cs="仿宋"/>
          <w:sz w:val="32"/>
        </w:rPr>
        <w:t>11)托管职工满意度，目标值</w:t>
      </w:r>
      <w:r>
        <w:rPr>
          <w:rFonts w:hint="eastAsia" w:ascii="仿宋" w:hAnsi="仿宋" w:eastAsia="仿宋"/>
          <w:sz w:val="32"/>
          <w:szCs w:val="32"/>
          <w:lang w:val="en-US" w:eastAsia="zh-CN"/>
        </w:rPr>
        <w:t>大于等于</w:t>
      </w:r>
      <w:r>
        <w:rPr>
          <w:rFonts w:hint="eastAsia" w:ascii="仿宋" w:hAnsi="仿宋" w:eastAsia="仿宋"/>
          <w:sz w:val="32"/>
          <w:szCs w:val="32"/>
        </w:rPr>
        <w:t>90</w:t>
      </w:r>
      <w:r>
        <w:rPr>
          <w:rFonts w:ascii="仿宋" w:hAnsi="仿宋" w:eastAsia="仿宋" w:cs="仿宋"/>
          <w:sz w:val="32"/>
        </w:rPr>
        <w:t>%  ，</w:t>
      </w:r>
      <w:r>
        <w:rPr>
          <w:rFonts w:hint="eastAsia" w:ascii="仿宋" w:hAnsi="仿宋" w:eastAsia="仿宋"/>
          <w:sz w:val="32"/>
          <w:szCs w:val="32"/>
          <w:lang w:val="en-US" w:eastAsia="zh-CN"/>
        </w:rPr>
        <w:t>实际</w:t>
      </w:r>
      <w:r>
        <w:rPr>
          <w:rFonts w:hint="eastAsia" w:ascii="仿宋" w:hAnsi="仿宋" w:eastAsia="仿宋"/>
          <w:sz w:val="32"/>
          <w:szCs w:val="32"/>
        </w:rPr>
        <w:t>完成</w:t>
      </w:r>
      <w:r>
        <w:rPr>
          <w:rFonts w:ascii="仿宋" w:hAnsi="仿宋" w:eastAsia="仿宋" w:cs="仿宋"/>
          <w:sz w:val="32"/>
        </w:rPr>
        <w:t>90%  ，分值10，得分10</w:t>
      </w:r>
      <w:r>
        <w:rPr>
          <w:rFonts w:hint="eastAsia" w:ascii="仿宋" w:hAnsi="仿宋" w:eastAsia="仿宋"/>
          <w:sz w:val="32"/>
          <w:szCs w:val="32"/>
        </w:rPr>
        <w:t>。</w:t>
      </w:r>
    </w:p>
    <w:p w14:paraId="2A7B88D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四）自评得分情况</w:t>
      </w:r>
    </w:p>
    <w:p w14:paraId="3941AFDA">
      <w:pPr>
        <w:keepNext w:val="0"/>
        <w:keepLines w:val="0"/>
        <w:pageBreakBefore w:val="0"/>
        <w:wordWrap/>
        <w:overflowPunct/>
        <w:topLinePunct w:val="0"/>
        <w:bidi w:val="0"/>
        <w:spacing w:line="580" w:lineRule="exact"/>
        <w:rPr>
          <w:rFonts w:hint="eastAsia" w:ascii="仿宋" w:hAnsi="仿宋" w:eastAsia="仿宋_GB2312"/>
          <w:sz w:val="32"/>
          <w:szCs w:val="32"/>
          <w:lang w:eastAsia="zh-CN"/>
        </w:rPr>
      </w:pPr>
      <w:r>
        <w:rPr>
          <w:rFonts w:hint="eastAsia" w:ascii="仿宋_GB2312" w:hAnsi="仿宋_GB2312" w:eastAsia="仿宋_GB2312"/>
          <w:sz w:val="32"/>
          <w:szCs w:val="32"/>
        </w:rPr>
        <w:t>本项目绩效自评得分</w:t>
      </w:r>
      <w:r>
        <w:rPr>
          <w:rFonts w:ascii="仿宋_GB2312" w:hAnsi="仿宋_GB2312" w:eastAsia="仿宋_GB2312" w:cs="仿宋_GB2312"/>
          <w:sz w:val="32"/>
        </w:rPr>
        <w:t>100分，等级为A</w:t>
      </w:r>
      <w:r>
        <w:rPr>
          <w:rFonts w:hint="eastAsia" w:ascii="仿宋_GB2312" w:hAnsi="仿宋_GB2312" w:eastAsia="仿宋_GB2312"/>
          <w:sz w:val="32"/>
          <w:szCs w:val="32"/>
          <w:lang w:eastAsia="zh-CN"/>
        </w:rPr>
        <w:t>。</w:t>
      </w:r>
    </w:p>
    <w:p w14:paraId="4DE37B73">
      <w:pPr>
        <w:keepNext w:val="0"/>
        <w:keepLines w:val="0"/>
        <w:pageBreakBefore w:val="0"/>
        <w:numPr>
          <w:ilvl w:val="0"/>
          <w:numId w:val="0"/>
        </w:numPr>
        <w:wordWrap/>
        <w:overflowPunct/>
        <w:topLinePunct w:val="0"/>
        <w:bidi w:val="0"/>
        <w:spacing w:line="580" w:lineRule="exact"/>
        <w:ind w:leftChars="0" w:firstLine="643" w:firstLineChars="200"/>
        <w:rPr>
          <w:rFonts w:ascii="仿宋" w:hAnsi="仿宋" w:eastAsia="仿宋"/>
          <w:b/>
          <w:sz w:val="32"/>
          <w:szCs w:val="32"/>
        </w:rPr>
      </w:pPr>
      <w:r>
        <w:rPr>
          <w:rFonts w:hint="eastAsia" w:ascii="仿宋" w:hAnsi="仿宋" w:eastAsia="仿宋"/>
          <w:b/>
          <w:sz w:val="32"/>
          <w:szCs w:val="32"/>
          <w:lang w:val="en-US" w:eastAsia="zh-CN"/>
        </w:rPr>
        <w:t>四、</w:t>
      </w:r>
      <w:r>
        <w:rPr>
          <w:rFonts w:hint="eastAsia" w:ascii="仿宋" w:hAnsi="仿宋" w:eastAsia="仿宋"/>
          <w:b/>
          <w:sz w:val="32"/>
          <w:szCs w:val="32"/>
        </w:rPr>
        <w:t>存在</w:t>
      </w:r>
      <w:r>
        <w:rPr>
          <w:rFonts w:hint="eastAsia" w:ascii="仿宋" w:hAnsi="仿宋" w:eastAsia="仿宋"/>
          <w:b/>
          <w:sz w:val="32"/>
          <w:szCs w:val="32"/>
          <w:lang w:val="en-US" w:eastAsia="zh-CN"/>
        </w:rPr>
        <w:t>问题</w:t>
      </w:r>
    </w:p>
    <w:p w14:paraId="17A9E73E">
      <w:pPr>
        <w:keepNext w:val="0"/>
        <w:keepLines w:val="0"/>
        <w:pageBreakBefore w:val="0"/>
        <w:numPr>
          <w:ilvl w:val="0"/>
          <w:numId w:val="0"/>
        </w:numPr>
        <w:wordWrap/>
        <w:overflowPunct/>
        <w:topLinePunct w:val="0"/>
        <w:bidi w:val="0"/>
        <w:spacing w:line="580" w:lineRule="exact"/>
        <w:ind w:left="240" w:leftChars="0" w:firstLine="320" w:firstLineChars="100"/>
        <w:rPr>
          <w:rFonts w:ascii="仿宋" w:hAnsi="仿宋" w:eastAsia="仿宋"/>
          <w:b w:val="0"/>
          <w:bCs/>
          <w:sz w:val="32"/>
          <w:szCs w:val="32"/>
        </w:rPr>
      </w:pPr>
      <w:r>
        <w:rPr>
          <w:rFonts w:hint="eastAsia" w:ascii="仿宋" w:hAnsi="仿宋" w:eastAsia="仿宋"/>
          <w:b w:val="0"/>
          <w:bCs/>
          <w:sz w:val="32"/>
          <w:szCs w:val="32"/>
          <w:lang w:val="en-US" w:eastAsia="zh-CN"/>
        </w:rPr>
        <w:t>项目立项、实施存在问题；资金管理使用存在问题。</w:t>
      </w:r>
    </w:p>
    <w:p w14:paraId="31F7B9A6">
      <w:pPr>
        <w:keepNext w:val="0"/>
        <w:keepLines w:val="0"/>
        <w:pageBreakBefore w:val="0"/>
        <w:wordWrap/>
        <w:overflowPunct/>
        <w:topLinePunct w:val="0"/>
        <w:bidi w:val="0"/>
        <w:spacing w:line="580" w:lineRule="exact"/>
        <w:ind w:firstLine="643" w:firstLineChars="200"/>
        <w:rPr>
          <w:rFonts w:ascii="仿宋" w:hAnsi="仿宋" w:eastAsia="仿宋" w:cs="仿宋"/>
          <w:sz w:val="30"/>
          <w:szCs w:val="30"/>
        </w:rPr>
      </w:pPr>
      <w:r>
        <w:rPr>
          <w:rFonts w:hint="eastAsia" w:ascii="仿宋" w:hAnsi="仿宋" w:eastAsia="仿宋"/>
          <w:b/>
          <w:sz w:val="32"/>
          <w:szCs w:val="32"/>
        </w:rPr>
        <w:t>五、其他需要说明的</w:t>
      </w:r>
      <w:r>
        <w:rPr>
          <w:rFonts w:hint="eastAsia" w:ascii="仿宋" w:hAnsi="仿宋" w:eastAsia="仿宋"/>
          <w:b/>
          <w:sz w:val="32"/>
          <w:szCs w:val="32"/>
          <w:lang w:val="en-US" w:eastAsia="zh-CN"/>
        </w:rPr>
        <w:t>问题</w:t>
      </w:r>
    </w:p>
    <w:p w14:paraId="56113C2C">
      <w:pPr>
        <w:keepNext w:val="0"/>
        <w:keepLines w:val="0"/>
        <w:pageBreakBefore w:val="0"/>
        <w:widowControl w:val="0"/>
        <w:suppressLineNumbers w:val="0"/>
        <w:kinsoku w:val="0"/>
        <w:wordWrap/>
        <w:overflowPunct/>
        <w:topLinePunct w:val="0"/>
        <w:autoSpaceDE/>
        <w:autoSpaceDN/>
        <w:bidi w:val="0"/>
        <w:adjustRightInd/>
        <w:snapToGrid/>
        <w:spacing w:line="580" w:lineRule="exact"/>
        <w:ind w:left="386" w:leftChars="184" w:firstLine="604" w:firstLineChars="200"/>
        <w:jc w:val="both"/>
        <w:textAlignment w:val="auto"/>
        <w:rPr>
          <w:rFonts w:hint="default" w:ascii="仿宋" w:hAnsi="仿宋" w:eastAsia="仿宋" w:cs="仿宋"/>
          <w:spacing w:val="1"/>
          <w:sz w:val="30"/>
          <w:szCs w:val="30"/>
        </w:rPr>
      </w:pPr>
      <w:r>
        <w:rPr>
          <w:rFonts w:hint="default" w:ascii="仿宋" w:hAnsi="仿宋" w:eastAsia="仿宋" w:cs="仿宋"/>
          <w:spacing w:val="1"/>
          <w:sz w:val="30"/>
          <w:szCs w:val="30"/>
        </w:rPr>
        <w:t>（一）后续工作计划。</w:t>
      </w:r>
    </w:p>
    <w:p w14:paraId="1A9B9CB1">
      <w:pPr>
        <w:keepNext w:val="0"/>
        <w:keepLines w:val="0"/>
        <w:pageBreakBefore w:val="0"/>
        <w:widowControl w:val="0"/>
        <w:suppressLineNumbers w:val="0"/>
        <w:kinsoku w:val="0"/>
        <w:wordWrap/>
        <w:overflowPunct/>
        <w:topLinePunct w:val="0"/>
        <w:autoSpaceDE/>
        <w:autoSpaceDN/>
        <w:bidi w:val="0"/>
        <w:adjustRightInd/>
        <w:snapToGrid/>
        <w:spacing w:line="580" w:lineRule="exact"/>
        <w:ind w:left="386" w:leftChars="184" w:firstLine="604" w:firstLineChars="200"/>
        <w:jc w:val="both"/>
        <w:textAlignment w:val="auto"/>
        <w:rPr>
          <w:rFonts w:hint="eastAsia" w:ascii="仿宋" w:hAnsi="仿宋" w:eastAsia="仿宋" w:cs="仿宋"/>
          <w:sz w:val="32"/>
          <w:szCs w:val="32"/>
        </w:rPr>
      </w:pPr>
      <w:r>
        <w:rPr>
          <w:rFonts w:hint="default" w:ascii="仿宋" w:hAnsi="仿宋" w:eastAsia="仿宋" w:cs="仿宋"/>
          <w:spacing w:val="1"/>
          <w:sz w:val="30"/>
          <w:szCs w:val="30"/>
        </w:rPr>
        <w:t>将绩效评价作为项目的重要组成部分进行申报、监控、自评等系列程序，通过自评得分对项目决策提供科学有效地的信息，切实提升决策能力。</w:t>
      </w:r>
      <w:r>
        <w:rPr>
          <w:rFonts w:hint="default" w:ascii="仿宋" w:hAnsi="仿宋" w:eastAsia="仿宋" w:cs="仿宋"/>
          <w:spacing w:val="1"/>
          <w:sz w:val="30"/>
          <w:szCs w:val="30"/>
        </w:rPr>
        <w:cr/>
      </w:r>
      <w:r>
        <w:rPr>
          <w:rFonts w:hint="eastAsia" w:ascii="仿宋" w:hAnsi="仿宋" w:eastAsia="仿宋" w:cs="仿宋"/>
          <w:spacing w:val="1"/>
          <w:sz w:val="30"/>
          <w:szCs w:val="30"/>
          <w:lang w:val="en-US" w:eastAsia="zh-CN"/>
        </w:rPr>
        <w:t xml:space="preserve">    </w:t>
      </w:r>
      <w:r>
        <w:rPr>
          <w:rFonts w:hint="default" w:ascii="仿宋" w:hAnsi="仿宋" w:eastAsia="仿宋" w:cs="仿宋"/>
          <w:spacing w:val="1"/>
          <w:sz w:val="30"/>
          <w:szCs w:val="30"/>
        </w:rPr>
        <w:t>（二）措施及办法。</w:t>
      </w:r>
      <w:r>
        <w:rPr>
          <w:rFonts w:hint="default" w:ascii="仿宋" w:hAnsi="仿宋" w:eastAsia="仿宋" w:cs="仿宋"/>
          <w:spacing w:val="1"/>
          <w:sz w:val="30"/>
          <w:szCs w:val="30"/>
        </w:rPr>
        <w:cr/>
      </w:r>
      <w:r>
        <w:rPr>
          <w:rFonts w:hint="eastAsia" w:ascii="仿宋" w:hAnsi="仿宋" w:eastAsia="仿宋" w:cs="仿宋"/>
          <w:spacing w:val="1"/>
          <w:sz w:val="30"/>
          <w:szCs w:val="30"/>
          <w:lang w:val="en-US" w:eastAsia="zh-CN"/>
        </w:rPr>
        <w:t xml:space="preserve">    </w:t>
      </w:r>
      <w:r>
        <w:rPr>
          <w:rFonts w:hint="default" w:ascii="仿宋" w:hAnsi="仿宋" w:eastAsia="仿宋" w:cs="仿宋"/>
          <w:spacing w:val="1"/>
          <w:sz w:val="30"/>
          <w:szCs w:val="30"/>
        </w:rPr>
        <w:t>1、继续细化绩效指标，让指标内容更全面，指标赋值更合理，整体更具参考价值。</w:t>
      </w:r>
      <w:r>
        <w:rPr>
          <w:rFonts w:hint="default" w:ascii="仿宋" w:hAnsi="仿宋" w:eastAsia="仿宋" w:cs="仿宋"/>
          <w:spacing w:val="1"/>
          <w:sz w:val="30"/>
          <w:szCs w:val="30"/>
        </w:rPr>
        <w:cr/>
      </w:r>
      <w:r>
        <w:rPr>
          <w:rFonts w:hint="eastAsia" w:ascii="仿宋" w:hAnsi="仿宋" w:eastAsia="仿宋" w:cs="仿宋"/>
          <w:spacing w:val="1"/>
          <w:sz w:val="30"/>
          <w:szCs w:val="30"/>
          <w:lang w:val="en-US" w:eastAsia="zh-CN"/>
        </w:rPr>
        <w:t xml:space="preserve">    </w:t>
      </w:r>
      <w:r>
        <w:rPr>
          <w:rFonts w:hint="default" w:ascii="仿宋" w:hAnsi="仿宋" w:eastAsia="仿宋" w:cs="仿宋"/>
          <w:spacing w:val="1"/>
          <w:sz w:val="30"/>
          <w:szCs w:val="30"/>
        </w:rPr>
        <w:t>2、做好项目前期信息收集工作，做好资金使用的统筹规划，创新工作方式，让专项资金得到充分使用。</w:t>
      </w:r>
    </w:p>
    <w:p w14:paraId="0F458D59">
      <w:pPr>
        <w:keepNext w:val="0"/>
        <w:keepLines w:val="0"/>
        <w:pageBreakBefore w:val="0"/>
        <w:widowControl w:val="0"/>
        <w:kinsoku/>
        <w:wordWrap/>
        <w:overflowPunct/>
        <w:topLinePunct w:val="0"/>
        <w:autoSpaceDE/>
        <w:autoSpaceDN/>
        <w:bidi w:val="0"/>
        <w:adjustRightInd/>
        <w:snapToGrid/>
        <w:spacing w:line="580" w:lineRule="exact"/>
        <w:ind w:firstLine="2880" w:firstLineChars="900"/>
        <w:jc w:val="both"/>
        <w:textAlignment w:val="auto"/>
        <w:rPr>
          <w:rFonts w:hint="eastAsia" w:ascii="仿宋" w:hAnsi="仿宋" w:eastAsia="仿宋" w:cs="仿宋"/>
          <w:sz w:val="32"/>
          <w:szCs w:val="32"/>
        </w:rPr>
      </w:pPr>
      <w:r>
        <w:rPr>
          <w:rFonts w:hint="eastAsia" w:ascii="黑体" w:hAnsi="黑体" w:eastAsia="黑体" w:cs="黑体"/>
          <w:sz w:val="32"/>
          <w:szCs w:val="32"/>
        </w:rPr>
        <w:t>第三部分  名词解释</w:t>
      </w:r>
    </w:p>
    <w:p w14:paraId="2D26427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一、财政拨款收入：从同级财政部门取得的各类财政拨款，包括一般公共预算财政拨款、政府性基金预算财政拨款、国有资本经营预算财政拨款。</w:t>
      </w:r>
    </w:p>
    <w:p w14:paraId="04D49BD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二、上级补助收入：指事业单位从主管部门和上级单位取得的非财政补助收入。</w:t>
      </w:r>
    </w:p>
    <w:p w14:paraId="04A97A1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三、财政专户管理教育收费：指缴入财政专户、实行专项管理的高中以上学费、住宿费、高校委托培养费、函大、电大、夜大及短训班培训费等教育收费。</w:t>
      </w:r>
    </w:p>
    <w:p w14:paraId="1A38FD5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四、事业收入：指事业单位开展专业业务活动及其辅助活动取得的收入。</w:t>
      </w:r>
    </w:p>
    <w:p w14:paraId="5F77CEA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五、经营收入：指事业单位在专业业务活动及其辅助活动之外开展非独立核算经营活动取得的收入。</w:t>
      </w:r>
    </w:p>
    <w:p w14:paraId="3624F2C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六、附属单位上缴收入：指事业单位取得附属独立核算单位按照有关规定上缴的收入。</w:t>
      </w:r>
    </w:p>
    <w:p w14:paraId="6AAA847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七、其他收入：取得的除上述“财政拨款收入”、“上级补助收入”、“事业收入”、“经营收入”、“附属单位上缴收入”等以外的各项收入。</w:t>
      </w:r>
    </w:p>
    <w:p w14:paraId="6D526EA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八、使用非财政拨款结余和专用结余：指事业单位按照预算管理要求使用非财政拨款结余和专用结余弥补当年收支差额的数额。</w:t>
      </w:r>
    </w:p>
    <w:p w14:paraId="5371196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九、年初结转和结余：指单位上年结转本年使用的基本支出结转、项目支出结转和结余、经营结余。</w:t>
      </w:r>
    </w:p>
    <w:p w14:paraId="122FB41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十、结余分配：指事业单位按规定缴纳企业所得税以及从非财政拨款结余或经营结余中提取各类结余的情况。</w:t>
      </w:r>
    </w:p>
    <w:p w14:paraId="511F19D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十一、年末结转和结余资金：指单位结转下年的基本支出结转、项目支出结转和结余、经营结余。</w:t>
      </w:r>
    </w:p>
    <w:p w14:paraId="496C96A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十二、基本支出：指为保障机构正常运转、完成日常工作任务所发生的支出，包括人员经费和公用经费。</w:t>
      </w:r>
    </w:p>
    <w:p w14:paraId="23104A5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十三、项目支出：指在为完成特定的工作任务和事业发展目标所发生的支出。</w:t>
      </w:r>
    </w:p>
    <w:p w14:paraId="28B5CE7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十四、上缴上级支出：指事业单位按照财政部门和主管部门的规定上缴上级单位的支出。</w:t>
      </w:r>
    </w:p>
    <w:p w14:paraId="7944E23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十五、经营支出：指事业单位在专业业务活动及其辅助活动之外开展非独立核算经营活动发生的支出。</w:t>
      </w:r>
    </w:p>
    <w:p w14:paraId="5F2ACB7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十六、对附属单位补助支出：指事业单位用财政拨款收入之外的收入对附属单位补助发生的支出。</w:t>
      </w:r>
    </w:p>
    <w:p w14:paraId="3631B99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七、“三公”经费：指部门（单位）用财政拨款安排的因公出国（境）费、公务用车购置及运行维护费和公务接待费。其中，因公出国（境）费反映部门（单位）)公务出国（境）的国际旅费、国外城市间交通费、住宿费、伙食费、培训费、公杂费等支出；公务用车购置及运行维护费反映部门（单位）公务用车购置支出（含车辆购置税、牌照费）以及按规定保留的公务用车燃料费、维修费、过路过桥费、保险费、安全奖励费用等支出；公务接待费反映部门（单位）按规定开支的各类公务接待（含外宾接待）费用。</w:t>
      </w:r>
    </w:p>
    <w:p w14:paraId="2FC0E64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八、机构运行经费：指部门（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69007A5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  </w:t>
      </w:r>
    </w:p>
    <w:p w14:paraId="46EA98F9">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center"/>
        <w:textAlignment w:val="auto"/>
        <w:rPr>
          <w:rFonts w:hint="eastAsia" w:ascii="仿宋" w:hAnsi="仿宋" w:eastAsia="仿宋" w:cs="仿宋"/>
          <w:sz w:val="32"/>
          <w:szCs w:val="32"/>
        </w:rPr>
      </w:pPr>
      <w:r>
        <w:rPr>
          <w:rFonts w:hint="eastAsia" w:ascii="黑体" w:hAnsi="黑体" w:eastAsia="黑体" w:cs="黑体"/>
          <w:sz w:val="32"/>
          <w:szCs w:val="32"/>
        </w:rPr>
        <w:t>第四部分 决算公开联系方式及信息反馈渠道</w:t>
      </w:r>
    </w:p>
    <w:p w14:paraId="623E29E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本单位决算公开信息反馈和联系方式：</w:t>
      </w:r>
    </w:p>
    <w:p w14:paraId="2FB073A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联系人：马强    联系电话：0471-5182796 </w:t>
      </w:r>
    </w:p>
    <w:p w14:paraId="2D59439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p>
    <w:p w14:paraId="3FFC12A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p>
    <w:p w14:paraId="4648851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p>
    <w:p w14:paraId="0D9E80C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87FCD2">
    <w:pPr>
      <w:pStyle w:val="3"/>
      <w:rPr>
        <w:rFonts w:hint="eastAsia" w:eastAsiaTheme="minorEastAsia"/>
        <w:lang w:val="en-US" w:eastAsia="zh-CN"/>
      </w:rPr>
    </w:pPr>
    <w:r>
      <w:rPr>
        <w:rFonts w:hint="eastAsia"/>
        <w:lang w:val="en-US" w:eastAsia="zh-CN"/>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5NTJjNjM5ZDFhNDgzMzQzZjFkOTEzMTRjZWU5OGIifQ=="/>
  </w:docVars>
  <w:rsids>
    <w:rsidRoot w:val="00000000"/>
    <w:rsid w:val="001F3AF1"/>
    <w:rsid w:val="012A0989"/>
    <w:rsid w:val="02230132"/>
    <w:rsid w:val="059211B6"/>
    <w:rsid w:val="05D62E8D"/>
    <w:rsid w:val="06F23CF7"/>
    <w:rsid w:val="075503C4"/>
    <w:rsid w:val="078B7CA7"/>
    <w:rsid w:val="07B72711"/>
    <w:rsid w:val="07C97074"/>
    <w:rsid w:val="08234337"/>
    <w:rsid w:val="09AF7839"/>
    <w:rsid w:val="0A1421D6"/>
    <w:rsid w:val="0A382368"/>
    <w:rsid w:val="0A955551"/>
    <w:rsid w:val="0BAA1044"/>
    <w:rsid w:val="0BBE4AEF"/>
    <w:rsid w:val="0C5E1E2E"/>
    <w:rsid w:val="0C6E6F3B"/>
    <w:rsid w:val="0D4224E0"/>
    <w:rsid w:val="0E2624D8"/>
    <w:rsid w:val="0F253E15"/>
    <w:rsid w:val="0F3B293B"/>
    <w:rsid w:val="0F5C08A7"/>
    <w:rsid w:val="0F8120BC"/>
    <w:rsid w:val="10134CDE"/>
    <w:rsid w:val="10CD1330"/>
    <w:rsid w:val="10E25268"/>
    <w:rsid w:val="11317B11"/>
    <w:rsid w:val="11A830C4"/>
    <w:rsid w:val="13C22D6B"/>
    <w:rsid w:val="13C51EF6"/>
    <w:rsid w:val="13ED5118"/>
    <w:rsid w:val="14904B4F"/>
    <w:rsid w:val="15826FAA"/>
    <w:rsid w:val="15AF7257"/>
    <w:rsid w:val="15C54CCC"/>
    <w:rsid w:val="16D51901"/>
    <w:rsid w:val="16FC64CC"/>
    <w:rsid w:val="171C091C"/>
    <w:rsid w:val="176F6C9D"/>
    <w:rsid w:val="17C70888"/>
    <w:rsid w:val="18002740"/>
    <w:rsid w:val="1855407B"/>
    <w:rsid w:val="18814EDA"/>
    <w:rsid w:val="18DA283C"/>
    <w:rsid w:val="1A2226ED"/>
    <w:rsid w:val="1A2C356C"/>
    <w:rsid w:val="1A984DFC"/>
    <w:rsid w:val="1B277CD1"/>
    <w:rsid w:val="1C7425FB"/>
    <w:rsid w:val="1C7C6646"/>
    <w:rsid w:val="1CAA0778"/>
    <w:rsid w:val="1CE73D02"/>
    <w:rsid w:val="1D567CDD"/>
    <w:rsid w:val="1DA67191"/>
    <w:rsid w:val="1DC60013"/>
    <w:rsid w:val="1E390475"/>
    <w:rsid w:val="1EEC5FE4"/>
    <w:rsid w:val="1F804E7A"/>
    <w:rsid w:val="1FFE79E6"/>
    <w:rsid w:val="21E6158E"/>
    <w:rsid w:val="220D5E08"/>
    <w:rsid w:val="221571A5"/>
    <w:rsid w:val="22350AE4"/>
    <w:rsid w:val="226C1AC8"/>
    <w:rsid w:val="22BE6D2B"/>
    <w:rsid w:val="235066A7"/>
    <w:rsid w:val="23C94077"/>
    <w:rsid w:val="23D759D7"/>
    <w:rsid w:val="23F76998"/>
    <w:rsid w:val="240D3AC6"/>
    <w:rsid w:val="24AC7783"/>
    <w:rsid w:val="25294E6A"/>
    <w:rsid w:val="26031BE1"/>
    <w:rsid w:val="266C32E9"/>
    <w:rsid w:val="26AD77E2"/>
    <w:rsid w:val="26C1158E"/>
    <w:rsid w:val="29746395"/>
    <w:rsid w:val="2A0A0C70"/>
    <w:rsid w:val="2A41096D"/>
    <w:rsid w:val="2B4C581C"/>
    <w:rsid w:val="2B996587"/>
    <w:rsid w:val="2C2502EA"/>
    <w:rsid w:val="2C344781"/>
    <w:rsid w:val="2E304F81"/>
    <w:rsid w:val="2E7035CF"/>
    <w:rsid w:val="2F2B5748"/>
    <w:rsid w:val="2F752B30"/>
    <w:rsid w:val="312D39F9"/>
    <w:rsid w:val="319E0453"/>
    <w:rsid w:val="31BE1296"/>
    <w:rsid w:val="32544FB6"/>
    <w:rsid w:val="32B51EF8"/>
    <w:rsid w:val="33353386"/>
    <w:rsid w:val="337E13A0"/>
    <w:rsid w:val="33C72CA7"/>
    <w:rsid w:val="3539059F"/>
    <w:rsid w:val="358E07DF"/>
    <w:rsid w:val="364C5EC4"/>
    <w:rsid w:val="36835E6A"/>
    <w:rsid w:val="36F30723"/>
    <w:rsid w:val="371D62BE"/>
    <w:rsid w:val="383E473E"/>
    <w:rsid w:val="38DB01DF"/>
    <w:rsid w:val="394F0285"/>
    <w:rsid w:val="3ACA050B"/>
    <w:rsid w:val="3B392F9B"/>
    <w:rsid w:val="3B673FAC"/>
    <w:rsid w:val="3B873861"/>
    <w:rsid w:val="3B895CD0"/>
    <w:rsid w:val="3C5F4C83"/>
    <w:rsid w:val="3CE138EA"/>
    <w:rsid w:val="3DE62FDD"/>
    <w:rsid w:val="3E6F1080"/>
    <w:rsid w:val="40AD420F"/>
    <w:rsid w:val="41546D80"/>
    <w:rsid w:val="4230334A"/>
    <w:rsid w:val="42CD0D7F"/>
    <w:rsid w:val="459C4852"/>
    <w:rsid w:val="46054AED"/>
    <w:rsid w:val="47BD48E5"/>
    <w:rsid w:val="47CF0F0F"/>
    <w:rsid w:val="48900745"/>
    <w:rsid w:val="49D055BC"/>
    <w:rsid w:val="4A361719"/>
    <w:rsid w:val="4A5B4CDC"/>
    <w:rsid w:val="4B3D45DA"/>
    <w:rsid w:val="4B3E2377"/>
    <w:rsid w:val="4BF947AC"/>
    <w:rsid w:val="4C7C1670"/>
    <w:rsid w:val="4D9C05BA"/>
    <w:rsid w:val="4DBA440F"/>
    <w:rsid w:val="4E015B9A"/>
    <w:rsid w:val="4E0B59A7"/>
    <w:rsid w:val="4E281379"/>
    <w:rsid w:val="4E8F13F8"/>
    <w:rsid w:val="4E9E163B"/>
    <w:rsid w:val="4ECD2067"/>
    <w:rsid w:val="4F133DD7"/>
    <w:rsid w:val="4F8B766B"/>
    <w:rsid w:val="50235F7D"/>
    <w:rsid w:val="50396F2D"/>
    <w:rsid w:val="50AA076B"/>
    <w:rsid w:val="514E559A"/>
    <w:rsid w:val="51981AD3"/>
    <w:rsid w:val="52AA4A52"/>
    <w:rsid w:val="52E37230"/>
    <w:rsid w:val="53C95791"/>
    <w:rsid w:val="543E18F6"/>
    <w:rsid w:val="54AF45A2"/>
    <w:rsid w:val="559D089E"/>
    <w:rsid w:val="5726436B"/>
    <w:rsid w:val="587D52E5"/>
    <w:rsid w:val="58A43CF2"/>
    <w:rsid w:val="597E2D83"/>
    <w:rsid w:val="59835FFD"/>
    <w:rsid w:val="5AC62645"/>
    <w:rsid w:val="5ADF7263"/>
    <w:rsid w:val="5AF745AD"/>
    <w:rsid w:val="5B3F4B35"/>
    <w:rsid w:val="5B590DC3"/>
    <w:rsid w:val="5B6335F8"/>
    <w:rsid w:val="5D20457E"/>
    <w:rsid w:val="5D50269A"/>
    <w:rsid w:val="5EC450EE"/>
    <w:rsid w:val="5ECB422E"/>
    <w:rsid w:val="5F447FDD"/>
    <w:rsid w:val="600734E4"/>
    <w:rsid w:val="6151078F"/>
    <w:rsid w:val="631A52DC"/>
    <w:rsid w:val="63864720"/>
    <w:rsid w:val="63957059"/>
    <w:rsid w:val="64A758F9"/>
    <w:rsid w:val="65515201"/>
    <w:rsid w:val="65D35C16"/>
    <w:rsid w:val="676905E0"/>
    <w:rsid w:val="67DE28A7"/>
    <w:rsid w:val="682D4FD4"/>
    <w:rsid w:val="683F6465"/>
    <w:rsid w:val="68686FA0"/>
    <w:rsid w:val="68C737DC"/>
    <w:rsid w:val="69DB341E"/>
    <w:rsid w:val="69DC61D5"/>
    <w:rsid w:val="6B2C02A3"/>
    <w:rsid w:val="6BC93D43"/>
    <w:rsid w:val="6C68355C"/>
    <w:rsid w:val="6D376C26"/>
    <w:rsid w:val="6E331948"/>
    <w:rsid w:val="6EE64267"/>
    <w:rsid w:val="6F0155A2"/>
    <w:rsid w:val="700C2451"/>
    <w:rsid w:val="7189187F"/>
    <w:rsid w:val="727B566C"/>
    <w:rsid w:val="7325014A"/>
    <w:rsid w:val="732E6B82"/>
    <w:rsid w:val="74744A68"/>
    <w:rsid w:val="74BD640F"/>
    <w:rsid w:val="75E1612D"/>
    <w:rsid w:val="7641097A"/>
    <w:rsid w:val="76650B0D"/>
    <w:rsid w:val="76866FD1"/>
    <w:rsid w:val="768E0063"/>
    <w:rsid w:val="77940AB6"/>
    <w:rsid w:val="78210A63"/>
    <w:rsid w:val="78D448D7"/>
    <w:rsid w:val="79565B20"/>
    <w:rsid w:val="796D3E79"/>
    <w:rsid w:val="79DF0BD6"/>
    <w:rsid w:val="7AAB2866"/>
    <w:rsid w:val="7BBC11CF"/>
    <w:rsid w:val="7BC41558"/>
    <w:rsid w:val="7BD209F2"/>
    <w:rsid w:val="7EC363D0"/>
    <w:rsid w:val="7F5C0863"/>
    <w:rsid w:val="7FAA75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spacing w:line="240" w:lineRule="auto"/>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13225</Words>
  <Characters>14745</Characters>
  <Lines>0</Lines>
  <Paragraphs>0</Paragraphs>
  <TotalTime>13</TotalTime>
  <ScaleCrop>false</ScaleCrop>
  <LinksUpToDate>false</LinksUpToDate>
  <CharactersWithSpaces>14953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王</cp:lastModifiedBy>
  <cp:lastPrinted>2024-09-09T10:00:00Z</cp:lastPrinted>
  <dcterms:modified xsi:type="dcterms:W3CDTF">2024-09-10T01:21:57Z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75844D6B318E4A59B77D5B1D9394CBD0_12</vt:lpwstr>
  </property>
</Properties>
</file>