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Style w:val="22"/>
          <w:woUserID w:val="0"/>
        </w:rPr>
      </w:pPr>
    </w:p>
    <w:p w14:paraId="781F0199">
      <w:pPr>
        <w:spacing w:line="360" w:lineRule="auto"/>
        <w:jc w:val="center"/>
        <w:rPr>
          <w:rFonts w:ascii="宋体" w:hAnsi="宋体"/>
          <w:sz w:val="24"/>
        </w:rPr>
      </w:pPr>
    </w:p>
    <w:p w14:paraId="588D4AEF">
      <w:pPr>
        <w:spacing w:line="360" w:lineRule="auto"/>
        <w:jc w:val="center"/>
        <w:rPr>
          <w:rFonts w:ascii="宋体" w:hAnsi="宋体"/>
          <w:sz w:val="24"/>
        </w:rPr>
      </w:pPr>
    </w:p>
    <w:p w14:paraId="3F809282">
      <w:pPr>
        <w:spacing w:line="360" w:lineRule="auto"/>
        <w:jc w:val="center"/>
        <w:rPr>
          <w:rFonts w:ascii="宋体" w:hAnsi="宋体"/>
          <w:sz w:val="24"/>
        </w:rPr>
      </w:pPr>
    </w:p>
    <w:p w14:paraId="1221F2C2">
      <w:pPr>
        <w:spacing w:line="360" w:lineRule="auto"/>
        <w:jc w:val="center"/>
        <w:rPr>
          <w:rFonts w:hint="eastAsia" w:ascii="宋体" w:hAnsi="宋体"/>
          <w:b/>
          <w:bCs/>
          <w:sz w:val="52"/>
          <w:szCs w:val="52"/>
        </w:rPr>
      </w:pPr>
      <w:r>
        <w:rPr>
          <w:rFonts w:ascii="宋体" w:hAnsi="宋体"/>
          <w:b/>
          <w:bCs/>
          <w:sz w:val="52"/>
          <w:szCs w:val="52"/>
        </w:rPr>
        <w:t>2023</w:t>
      </w:r>
      <w:r>
        <w:rPr>
          <w:rFonts w:hint="eastAsia" w:ascii="宋体" w:hAnsi="宋体"/>
          <w:b/>
          <w:bCs/>
          <w:sz w:val="52"/>
          <w:szCs w:val="52"/>
        </w:rPr>
        <w:t>年度内蒙古自治区</w:t>
      </w:r>
    </w:p>
    <w:p w14:paraId="42815D58">
      <w:pPr>
        <w:spacing w:line="360" w:lineRule="auto"/>
        <w:jc w:val="center"/>
        <w:rPr>
          <w:rFonts w:ascii="宋体" w:hAnsi="宋体"/>
          <w:b/>
          <w:bCs/>
          <w:sz w:val="52"/>
          <w:szCs w:val="52"/>
        </w:rPr>
      </w:pPr>
      <w:r>
        <w:rPr>
          <w:rFonts w:hint="eastAsia" w:ascii="宋体" w:hAnsi="宋体"/>
          <w:b/>
          <w:bCs/>
          <w:sz w:val="52"/>
          <w:szCs w:val="52"/>
        </w:rPr>
        <w:t>呼和浩特市盲人按摩医院</w:t>
      </w:r>
    </w:p>
    <w:p w14:paraId="77E6C3D2">
      <w:pPr>
        <w:spacing w:line="360" w:lineRule="auto"/>
        <w:jc w:val="center"/>
        <w:rPr>
          <w:rFonts w:ascii="宋体" w:hAnsi="宋体"/>
          <w:b/>
          <w:bCs/>
          <w:sz w:val="52"/>
          <w:szCs w:val="52"/>
        </w:rPr>
      </w:pPr>
      <w:r>
        <w:rPr>
          <w:rFonts w:hint="eastAsia" w:ascii="宋体" w:hAnsi="宋体"/>
          <w:b/>
          <w:bCs/>
          <w:sz w:val="52"/>
          <w:szCs w:val="52"/>
        </w:rPr>
        <w:t>公开文档</w:t>
      </w:r>
    </w:p>
    <w:p w14:paraId="6AF33ABC">
      <w:pPr>
        <w:spacing w:line="360" w:lineRule="auto"/>
        <w:jc w:val="center"/>
        <w:rPr>
          <w:rFonts w:ascii="宋体" w:hAnsi="宋体"/>
          <w:b/>
          <w:bCs/>
          <w:sz w:val="52"/>
          <w:szCs w:val="52"/>
        </w:rPr>
      </w:pPr>
    </w:p>
    <w:p w14:paraId="10212A6C">
      <w:pPr>
        <w:spacing w:line="360" w:lineRule="auto"/>
        <w:jc w:val="center"/>
        <w:rPr>
          <w:rFonts w:ascii="宋体" w:hAnsi="宋体"/>
          <w:b/>
          <w:bCs/>
          <w:sz w:val="52"/>
          <w:szCs w:val="52"/>
        </w:rPr>
      </w:pPr>
    </w:p>
    <w:p w14:paraId="636528E7">
      <w:pPr>
        <w:spacing w:line="360" w:lineRule="auto"/>
        <w:jc w:val="center"/>
        <w:rPr>
          <w:rFonts w:ascii="宋体" w:hAnsi="宋体"/>
          <w:b/>
          <w:bCs/>
          <w:sz w:val="52"/>
          <w:szCs w:val="52"/>
        </w:rPr>
      </w:pPr>
    </w:p>
    <w:p w14:paraId="3ADF248C">
      <w:pPr>
        <w:spacing w:line="360" w:lineRule="auto"/>
        <w:jc w:val="center"/>
        <w:rPr>
          <w:rFonts w:ascii="宋体" w:hAnsi="宋体"/>
          <w:b/>
          <w:bCs/>
          <w:sz w:val="52"/>
          <w:szCs w:val="52"/>
        </w:rPr>
      </w:pPr>
    </w:p>
    <w:p w14:paraId="1D89E7A7">
      <w:pPr>
        <w:spacing w:line="360" w:lineRule="auto"/>
        <w:jc w:val="center"/>
        <w:rPr>
          <w:rFonts w:ascii="宋体" w:hAnsi="宋体"/>
          <w:b/>
          <w:bCs/>
          <w:sz w:val="52"/>
          <w:szCs w:val="52"/>
        </w:rPr>
      </w:pPr>
    </w:p>
    <w:p w14:paraId="6C9B9DF2">
      <w:pPr>
        <w:spacing w:line="360" w:lineRule="auto"/>
        <w:ind w:firstLine="2240" w:firstLineChars="700"/>
        <w:jc w:val="left"/>
        <w:rPr>
          <w:rFonts w:ascii="宋体" w:hAnsi="宋体"/>
          <w:sz w:val="32"/>
          <w:szCs w:val="32"/>
        </w:rPr>
      </w:pPr>
      <w:r>
        <w:rPr>
          <w:rFonts w:hint="eastAsia" w:ascii="宋体" w:hAnsi="宋体"/>
          <w:sz w:val="32"/>
          <w:szCs w:val="32"/>
        </w:rPr>
        <w:t>单位名称：内蒙古自治区呼和浩特市盲人按摩医院</w:t>
      </w:r>
    </w:p>
    <w:p w14:paraId="29073C42">
      <w:pPr>
        <w:spacing w:line="360" w:lineRule="auto"/>
        <w:ind w:firstLine="2240" w:firstLineChars="700"/>
        <w:jc w:val="left"/>
        <w:rPr>
          <w:rFonts w:ascii="宋体" w:hAnsi="宋体"/>
          <w:sz w:val="32"/>
          <w:szCs w:val="32"/>
        </w:rPr>
      </w:pPr>
      <w:r>
        <w:rPr>
          <w:rFonts w:hint="eastAsia" w:ascii="宋体" w:hAnsi="宋体"/>
          <w:sz w:val="32"/>
          <w:szCs w:val="32"/>
        </w:rPr>
        <w:t>单位负责人：云春兰</w:t>
      </w:r>
    </w:p>
    <w:p w14:paraId="159F86D2">
      <w:pPr>
        <w:spacing w:line="360" w:lineRule="auto"/>
        <w:ind w:firstLine="2240" w:firstLineChars="700"/>
        <w:jc w:val="left"/>
        <w:rPr>
          <w:rFonts w:hint="default" w:ascii="宋体" w:hAnsi="宋体" w:eastAsia="宋体"/>
          <w:sz w:val="32"/>
          <w:szCs w:val="32"/>
          <w:lang w:val="en-US" w:eastAsia="zh-CN"/>
        </w:rPr>
      </w:pPr>
      <w:r>
        <w:rPr>
          <w:rFonts w:hint="eastAsia" w:ascii="宋体" w:hAnsi="宋体"/>
          <w:sz w:val="32"/>
          <w:szCs w:val="32"/>
        </w:rPr>
        <w:t>财务负责人：</w:t>
      </w:r>
      <w:r>
        <w:rPr>
          <w:rFonts w:hint="eastAsia" w:ascii="宋体" w:hAnsi="宋体"/>
          <w:sz w:val="32"/>
          <w:szCs w:val="32"/>
          <w:lang w:val="en-US" w:eastAsia="zh-CN"/>
        </w:rPr>
        <w:t>云春兰</w:t>
      </w:r>
    </w:p>
    <w:p w14:paraId="2403EDC6">
      <w:pPr>
        <w:spacing w:line="360" w:lineRule="auto"/>
        <w:ind w:firstLine="2240" w:firstLineChars="700"/>
        <w:jc w:val="left"/>
        <w:rPr>
          <w:rFonts w:ascii="宋体" w:hAnsi="宋体"/>
          <w:sz w:val="32"/>
          <w:szCs w:val="32"/>
        </w:rPr>
      </w:pPr>
      <w:r>
        <w:rPr>
          <w:rFonts w:hint="eastAsia" w:ascii="宋体" w:hAnsi="宋体"/>
          <w:sz w:val="32"/>
          <w:szCs w:val="32"/>
        </w:rPr>
        <w:t>编制人：</w:t>
      </w:r>
      <w:r>
        <w:rPr>
          <w:rFonts w:hint="eastAsia" w:ascii="宋体" w:hAnsi="宋体"/>
          <w:sz w:val="32"/>
          <w:szCs w:val="32"/>
          <w:lang w:val="en-US" w:eastAsia="zh-CN"/>
        </w:rPr>
        <w:t xml:space="preserve">     </w:t>
      </w:r>
      <w:r>
        <w:rPr>
          <w:rFonts w:hint="eastAsia" w:ascii="宋体" w:hAnsi="宋体"/>
          <w:sz w:val="32"/>
          <w:szCs w:val="32"/>
        </w:rPr>
        <w:t>张敏</w:t>
      </w:r>
    </w:p>
    <w:p w14:paraId="45C58358">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年9月</w:t>
      </w:r>
    </w:p>
    <w:p w14:paraId="53973ADF">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ascii="宋体" w:hAnsi="宋体"/>
          <w:b/>
          <w:sz w:val="32"/>
          <w:szCs w:val="32"/>
        </w:rPr>
      </w:pPr>
    </w:p>
    <w:p w14:paraId="4A679AAA">
      <w:pPr>
        <w:adjustRightInd w:val="0"/>
        <w:snapToGrid w:val="0"/>
        <w:jc w:val="center"/>
      </w:pPr>
    </w:p>
    <w:p w14:paraId="574E833F">
      <w:pPr>
        <w:adjustRightInd w:val="0"/>
        <w:snapToGrid w:val="0"/>
        <w:rPr>
          <w:rFonts w:ascii="宋体" w:hAnsi="宋体"/>
          <w:b/>
          <w:sz w:val="32"/>
          <w:szCs w:val="32"/>
        </w:rPr>
      </w:pPr>
    </w:p>
    <w:p w14:paraId="508CBC77">
      <w:pPr>
        <w:pStyle w:val="2"/>
      </w:pPr>
      <w:r>
        <w:rPr>
          <w:rFonts w:hint="eastAsia"/>
        </w:rPr>
        <w:t>公开文档</w:t>
      </w:r>
    </w:p>
    <w:p w14:paraId="1C9A9517">
      <w:pPr>
        <w:widowControl/>
        <w:spacing w:after="240"/>
        <w:jc w:val="center"/>
        <w:rPr>
          <w:rFonts w:ascii="Times New Roman" w:hAnsi="Times New Roman" w:eastAsia="Times New Roman" w:cs="Times New Roman"/>
          <w:kern w:val="0"/>
          <w:sz w:val="24"/>
        </w:rPr>
      </w:pPr>
      <w:bookmarkStart w:id="0" w:name="a000"/>
      <w:r>
        <w:rPr>
          <w:rFonts w:ascii="fang_song_gb2312" w:hAnsi="fang_song_gb2312" w:eastAsia="fang_song_gb2312" w:cs="fang_song_gb2312"/>
          <w:b/>
          <w:bCs/>
          <w:kern w:val="0"/>
          <w:sz w:val="54"/>
          <w:szCs w:val="54"/>
        </w:rPr>
        <w:t>目 录</w:t>
      </w:r>
    </w:p>
    <w:p w14:paraId="2C64CD11">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14:paraId="2D0593D1">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第一部分 单位概况</w:t>
      </w:r>
    </w:p>
    <w:p w14:paraId="5E15E665">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一、主要职能、职责</w:t>
      </w:r>
    </w:p>
    <w:p w14:paraId="741443CA">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二、部门（单位）机构设置及决算单位构成情况</w:t>
      </w:r>
    </w:p>
    <w:p w14:paraId="2CC78D2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w:t>
      </w:r>
      <w:r>
        <w:rPr>
          <w:rFonts w:ascii="times_new_roman" w:hAnsi="times_new_roman" w:eastAsia="times_new_roman" w:cs="times_new_roman"/>
          <w:kern w:val="0"/>
          <w:sz w:val="27"/>
          <w:szCs w:val="27"/>
        </w:rPr>
        <w:t>2023</w:t>
      </w:r>
      <w:r>
        <w:rPr>
          <w:rFonts w:ascii="fang_song_gb2312" w:hAnsi="fang_song_gb2312" w:eastAsia="fang_song_gb2312" w:cs="fang_song_gb2312"/>
          <w:kern w:val="0"/>
          <w:sz w:val="27"/>
          <w:szCs w:val="27"/>
        </w:rPr>
        <w:t>年度部门（单位）主要工作完成情况</w:t>
      </w:r>
    </w:p>
    <w:p w14:paraId="28EEE682">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第二部分 单位决算情况说明</w:t>
      </w:r>
    </w:p>
    <w:p w14:paraId="1EB6195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一、收入支出决算总体情况说明</w:t>
      </w:r>
    </w:p>
    <w:p w14:paraId="6372943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二、收入决算情况说明</w:t>
      </w:r>
    </w:p>
    <w:p w14:paraId="3BFF9B6D">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三、支出决算情况说明</w:t>
      </w:r>
    </w:p>
    <w:p w14:paraId="6E743B3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四、财政拨款收入支出决算总体情况说明</w:t>
      </w:r>
    </w:p>
    <w:p w14:paraId="0920966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五、一般公共预算财政拨款支出决算情况说明</w:t>
      </w:r>
    </w:p>
    <w:p w14:paraId="1CA3E42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六、一般公共预算财政拨款基本支出决算情况说明</w:t>
      </w:r>
    </w:p>
    <w:p w14:paraId="5E38E382">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七、一般公共预算财政拨款项目支出决算情况说明</w:t>
      </w:r>
    </w:p>
    <w:p w14:paraId="667F149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八、财政拨款“三公”经费支出决算情况说明</w:t>
      </w:r>
    </w:p>
    <w:p w14:paraId="5EEB52A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九、政府性基金预算财政拨款支出决算情况说明</w:t>
      </w:r>
    </w:p>
    <w:p w14:paraId="1EC9AD1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十、国有资本经营预算财政拨款支出决算情况说明</w:t>
      </w:r>
    </w:p>
    <w:p w14:paraId="08ED775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十一、机构运行经费支出决算情况说明</w:t>
      </w:r>
    </w:p>
    <w:p w14:paraId="02426F7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十二、政府采购支出决算情况说明</w:t>
      </w:r>
    </w:p>
    <w:p w14:paraId="5C787FF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十三、国有资产占用情况说明</w:t>
      </w:r>
    </w:p>
    <w:p w14:paraId="07286C6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十四、预算绩效情况说明</w:t>
      </w:r>
    </w:p>
    <w:p w14:paraId="107E91B4">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14:paraId="471BFCCD">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14:paraId="39932EC0">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第五部分 单位决算表</w:t>
      </w:r>
    </w:p>
    <w:p w14:paraId="79FE32D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一、收入支出决算总表</w:t>
      </w:r>
    </w:p>
    <w:p w14:paraId="66B5D13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二、收入决算表</w:t>
      </w:r>
    </w:p>
    <w:p w14:paraId="78005D1D">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三、支出决算表</w:t>
      </w:r>
    </w:p>
    <w:p w14:paraId="02B1B75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四、财政拨款收入支出决算总表</w:t>
      </w:r>
    </w:p>
    <w:p w14:paraId="2930536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五、一般公共预算财政拨款支出决算表</w:t>
      </w:r>
    </w:p>
    <w:p w14:paraId="32E06E04">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六、一般公共预算财政拨款基本支出决算明细表</w:t>
      </w:r>
    </w:p>
    <w:p w14:paraId="14E2412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七、一般公共预算财政拨款项目支出决算明细表</w:t>
      </w:r>
    </w:p>
    <w:p w14:paraId="6BD73FD2">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八、政府性基金预算财政拨款收入支出决算表</w:t>
      </w:r>
    </w:p>
    <w:p w14:paraId="40DD122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九、国有资本经营预算财政拨款支出决算表</w:t>
      </w:r>
    </w:p>
    <w:p w14:paraId="036F6B5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十、财政拨款“三公”经费支出决算表</w:t>
      </w:r>
    </w:p>
    <w:p w14:paraId="61D6CA82">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十一、机构运行经费支出、国有资产占用情况及政府采购支出信息表</w:t>
      </w:r>
    </w:p>
    <w:p w14:paraId="5E17C4D6">
      <w:pPr>
        <w:widowControl/>
        <w:spacing w:before="240" w:after="240"/>
        <w:jc w:val="center"/>
        <w:rPr>
          <w:rFonts w:hint="eastAsia" w:asciiTheme="minorEastAsia" w:hAnsiTheme="minorEastAsia" w:eastAsiaTheme="minorEastAsia" w:cstheme="minorEastAsia"/>
          <w:b/>
          <w:bCs/>
          <w:color w:val="000000"/>
          <w:kern w:val="0"/>
          <w:sz w:val="32"/>
          <w:szCs w:val="32"/>
        </w:rPr>
      </w:pPr>
    </w:p>
    <w:p w14:paraId="787796E6">
      <w:pPr>
        <w:widowControl/>
        <w:spacing w:before="240" w:after="240"/>
        <w:jc w:val="center"/>
        <w:rPr>
          <w:rFonts w:hint="eastAsia" w:asciiTheme="minorEastAsia" w:hAnsiTheme="minorEastAsia" w:eastAsiaTheme="minorEastAsia" w:cstheme="minorEastAsia"/>
          <w:b/>
          <w:bCs/>
          <w:color w:val="000000"/>
          <w:kern w:val="0"/>
          <w:sz w:val="32"/>
          <w:szCs w:val="32"/>
        </w:rPr>
      </w:pPr>
    </w:p>
    <w:p w14:paraId="1BA404EC">
      <w:pPr>
        <w:widowControl/>
        <w:spacing w:before="240" w:after="240"/>
        <w:jc w:val="center"/>
        <w:rPr>
          <w:rFonts w:hint="eastAsia" w:asciiTheme="minorEastAsia" w:hAnsiTheme="minorEastAsia" w:eastAsiaTheme="minorEastAsia" w:cstheme="minorEastAsia"/>
          <w:b/>
          <w:bCs/>
          <w:color w:val="000000"/>
          <w:kern w:val="0"/>
          <w:sz w:val="32"/>
          <w:szCs w:val="32"/>
        </w:rPr>
      </w:pPr>
    </w:p>
    <w:p w14:paraId="32CA2238">
      <w:pPr>
        <w:widowControl/>
        <w:spacing w:before="240" w:after="240"/>
        <w:jc w:val="center"/>
        <w:rPr>
          <w:rFonts w:hint="eastAsia" w:asciiTheme="minorEastAsia" w:hAnsiTheme="minorEastAsia" w:eastAsiaTheme="minorEastAsia" w:cstheme="minorEastAsia"/>
          <w:b/>
          <w:bCs/>
          <w:color w:val="000000"/>
          <w:kern w:val="0"/>
          <w:sz w:val="32"/>
          <w:szCs w:val="32"/>
        </w:rPr>
      </w:pPr>
    </w:p>
    <w:p w14:paraId="5C9944D5">
      <w:pPr>
        <w:widowControl/>
        <w:spacing w:before="240" w:after="240"/>
        <w:jc w:val="center"/>
        <w:rPr>
          <w:rFonts w:hint="eastAsia" w:asciiTheme="minorEastAsia" w:hAnsiTheme="minorEastAsia" w:eastAsiaTheme="minorEastAsia" w:cstheme="minorEastAsia"/>
          <w:b/>
          <w:bCs/>
          <w:color w:val="000000"/>
          <w:kern w:val="0"/>
          <w:sz w:val="32"/>
          <w:szCs w:val="32"/>
        </w:rPr>
      </w:pPr>
    </w:p>
    <w:p w14:paraId="119D6957">
      <w:pPr>
        <w:widowControl/>
        <w:spacing w:before="240" w:after="240"/>
        <w:jc w:val="center"/>
        <w:rPr>
          <w:rFonts w:hint="eastAsia" w:asciiTheme="minorEastAsia" w:hAnsiTheme="minorEastAsia" w:eastAsiaTheme="minorEastAsia" w:cstheme="minorEastAsia"/>
          <w:b/>
          <w:bCs/>
          <w:color w:val="000000"/>
          <w:kern w:val="0"/>
          <w:sz w:val="32"/>
          <w:szCs w:val="32"/>
        </w:rPr>
      </w:pPr>
    </w:p>
    <w:p w14:paraId="6C1C5C01">
      <w:pPr>
        <w:widowControl/>
        <w:spacing w:before="240" w:after="240"/>
        <w:jc w:val="center"/>
        <w:rPr>
          <w:rFonts w:hint="eastAsia" w:asciiTheme="minorEastAsia" w:hAnsiTheme="minorEastAsia" w:eastAsiaTheme="minorEastAsia" w:cstheme="minorEastAsia"/>
          <w:b/>
          <w:bCs/>
          <w:color w:val="000000"/>
          <w:kern w:val="0"/>
          <w:sz w:val="32"/>
          <w:szCs w:val="32"/>
        </w:rPr>
      </w:pPr>
    </w:p>
    <w:p w14:paraId="4DE260AD">
      <w:pPr>
        <w:widowControl/>
        <w:spacing w:before="240" w:after="240"/>
        <w:jc w:val="center"/>
        <w:rPr>
          <w:rFonts w:hint="eastAsia" w:asciiTheme="minorEastAsia" w:hAnsiTheme="minorEastAsia" w:eastAsiaTheme="minorEastAsia" w:cstheme="minorEastAsia"/>
          <w:b/>
          <w:bCs/>
          <w:color w:val="000000"/>
          <w:kern w:val="0"/>
          <w:sz w:val="32"/>
          <w:szCs w:val="32"/>
        </w:rPr>
      </w:pPr>
    </w:p>
    <w:p w14:paraId="2239D17A">
      <w:pPr>
        <w:widowControl/>
        <w:spacing w:before="240" w:after="240"/>
        <w:jc w:val="center"/>
        <w:rPr>
          <w:rFonts w:hint="eastAsia" w:asciiTheme="minorEastAsia" w:hAnsiTheme="minorEastAsia" w:eastAsiaTheme="minorEastAsia" w:cstheme="minorEastAsia"/>
          <w:b/>
          <w:bCs/>
          <w:color w:val="000000"/>
          <w:kern w:val="0"/>
          <w:sz w:val="32"/>
          <w:szCs w:val="32"/>
        </w:rPr>
      </w:pPr>
    </w:p>
    <w:p w14:paraId="46F615C5">
      <w:pPr>
        <w:widowControl/>
        <w:spacing w:before="240" w:after="240"/>
        <w:jc w:val="center"/>
        <w:rPr>
          <w:rFonts w:hint="eastAsia" w:asciiTheme="minorEastAsia" w:hAnsiTheme="minorEastAsia" w:eastAsiaTheme="minorEastAsia" w:cstheme="minorEastAsia"/>
          <w:b/>
          <w:bCs/>
          <w:color w:val="000000"/>
          <w:kern w:val="0"/>
          <w:sz w:val="32"/>
          <w:szCs w:val="32"/>
        </w:rPr>
      </w:pPr>
    </w:p>
    <w:p w14:paraId="1199775C">
      <w:pPr>
        <w:widowControl/>
        <w:spacing w:before="240" w:after="240"/>
        <w:jc w:val="center"/>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b/>
          <w:bCs/>
          <w:color w:val="000000"/>
          <w:kern w:val="0"/>
          <w:sz w:val="32"/>
          <w:szCs w:val="32"/>
        </w:rPr>
        <w:t>第一部分 单位概况</w:t>
      </w:r>
    </w:p>
    <w:p w14:paraId="516FD0E6">
      <w:pPr>
        <w:widowControl/>
        <w:spacing w:before="240" w:after="240"/>
        <w:jc w:val="left"/>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b/>
          <w:bCs/>
          <w:kern w:val="0"/>
          <w:sz w:val="28"/>
          <w:szCs w:val="28"/>
        </w:rPr>
        <w:t xml:space="preserve">    </w:t>
      </w:r>
      <w:r>
        <w:rPr>
          <w:rFonts w:hint="eastAsia" w:asciiTheme="minorEastAsia" w:hAnsiTheme="minorEastAsia" w:eastAsiaTheme="minorEastAsia" w:cstheme="minorEastAsia"/>
          <w:b/>
          <w:bCs/>
          <w:kern w:val="0"/>
          <w:sz w:val="30"/>
          <w:szCs w:val="30"/>
        </w:rPr>
        <w:t>一、主要职能、职责</w:t>
      </w:r>
    </w:p>
    <w:p w14:paraId="5997F1CF">
      <w:pPr>
        <w:widowControl/>
        <w:spacing w:before="240" w:after="240" w:line="360" w:lineRule="auto"/>
        <w:rPr>
          <w:rFonts w:hint="eastAsia" w:asciiTheme="minorEastAsia" w:hAnsiTheme="minorEastAsia" w:eastAsiaTheme="minorEastAsia" w:cstheme="minorEastAsia"/>
          <w:kern w:val="0"/>
          <w:sz w:val="28"/>
          <w:szCs w:val="28"/>
          <w:lang w:eastAsia="zh-CN"/>
        </w:rPr>
      </w:pPr>
      <w:r>
        <w:rPr>
          <w:rFonts w:hint="eastAsia" w:asciiTheme="minorEastAsia" w:hAnsiTheme="minorEastAsia" w:eastAsiaTheme="minorEastAsia" w:cstheme="minorEastAsia"/>
          <w:color w:val="0E00FE"/>
          <w:kern w:val="0"/>
          <w:sz w:val="28"/>
          <w:szCs w:val="28"/>
        </w:rPr>
        <w:t xml:space="preserve">    </w:t>
      </w:r>
      <w:r>
        <w:rPr>
          <w:rFonts w:hint="eastAsia" w:asciiTheme="minorEastAsia" w:hAnsiTheme="minorEastAsia" w:eastAsiaTheme="minorEastAsia" w:cstheme="minorEastAsia"/>
          <w:color w:val="0E00FE"/>
          <w:kern w:val="0"/>
          <w:sz w:val="28"/>
          <w:szCs w:val="28"/>
          <w:lang w:val="en-US" w:eastAsia="zh-CN"/>
        </w:rPr>
        <w:t xml:space="preserve"> </w:t>
      </w:r>
      <w:r>
        <w:rPr>
          <w:rStyle w:val="31"/>
          <w:rFonts w:hint="eastAsia" w:asciiTheme="minorEastAsia" w:hAnsiTheme="minorEastAsia" w:eastAsiaTheme="minorEastAsia" w:cstheme="minorEastAsia"/>
          <w:color w:val="auto"/>
          <w:sz w:val="28"/>
          <w:szCs w:val="28"/>
        </w:rPr>
        <w:t>呼和浩特市盲人按摩医院始建于1962年，于2004年增挂呼和浩特市盲人按摩医疗培训中心牌子，是一所社会福利型的医疗事业单位。隶属于呼和浩特市民政局，是内蒙古自治区唯一的一所以盲人为主体以中医按摩为主，并承担呼市地区盲障学员培训任务的非营利性专科医院</w:t>
      </w:r>
      <w:r>
        <w:rPr>
          <w:rStyle w:val="31"/>
          <w:rFonts w:hint="eastAsia" w:asciiTheme="minorEastAsia" w:hAnsiTheme="minorEastAsia" w:eastAsiaTheme="minorEastAsia" w:cstheme="minorEastAsia"/>
          <w:color w:val="auto"/>
          <w:sz w:val="28"/>
          <w:szCs w:val="28"/>
          <w:lang w:eastAsia="zh-CN"/>
        </w:rPr>
        <w:t>。</w:t>
      </w:r>
    </w:p>
    <w:p w14:paraId="0A56F48A">
      <w:pPr>
        <w:widowControl/>
        <w:spacing w:before="240" w:after="240"/>
        <w:jc w:val="left"/>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b/>
          <w:bCs/>
          <w:kern w:val="0"/>
          <w:sz w:val="28"/>
          <w:szCs w:val="28"/>
        </w:rPr>
        <w:t xml:space="preserve">    </w:t>
      </w:r>
      <w:r>
        <w:rPr>
          <w:rFonts w:hint="eastAsia" w:asciiTheme="minorEastAsia" w:hAnsiTheme="minorEastAsia" w:eastAsiaTheme="minorEastAsia" w:cstheme="minorEastAsia"/>
          <w:b/>
          <w:bCs/>
          <w:kern w:val="0"/>
          <w:sz w:val="30"/>
          <w:szCs w:val="30"/>
        </w:rPr>
        <w:t>二、单位机构设置及决算单位构成情况</w:t>
      </w:r>
    </w:p>
    <w:p w14:paraId="163E31F9">
      <w:pPr>
        <w:keepNext w:val="0"/>
        <w:keepLines w:val="0"/>
        <w:widowControl/>
        <w:suppressLineNumbers w:val="0"/>
        <w:spacing w:line="36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    1.根据单位职责分工，本单位内设机构包括</w:t>
      </w:r>
      <w:r>
        <w:rPr>
          <w:rFonts w:hint="eastAsia" w:asciiTheme="minorEastAsia" w:hAnsiTheme="minorEastAsia" w:eastAsiaTheme="minorEastAsia" w:cstheme="minorEastAsia"/>
          <w:color w:val="000000"/>
          <w:kern w:val="0"/>
          <w:sz w:val="28"/>
          <w:szCs w:val="28"/>
          <w:lang w:val="en-US" w:eastAsia="zh-CN" w:bidi="ar"/>
        </w:rPr>
        <w:t>办公室、财务科、人事科、党建办、工会、门诊部、中医理疗科和按摩康复科。本单位无下属单位 。2023 年人员基本情况 ，年末编制人数 21 人 、实有 14人、离休 1 人、退休 40人。</w:t>
      </w:r>
    </w:p>
    <w:p w14:paraId="4F3F7343">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p>
    <w:p w14:paraId="77F9F847">
      <w:pPr>
        <w:widowControl/>
        <w:spacing w:before="240" w:after="240" w:line="360" w:lineRule="auto"/>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    2.从决算单位构成看，纳入本财政汇总决算编制范围的预算单位共计</w:t>
      </w:r>
      <w:r>
        <w:rPr>
          <w:rFonts w:hint="eastAsia" w:asciiTheme="minorEastAsia" w:hAnsiTheme="minorEastAsia" w:eastAsiaTheme="minorEastAsia" w:cstheme="minorEastAsia"/>
          <w:kern w:val="0"/>
          <w:sz w:val="28"/>
          <w:szCs w:val="28"/>
          <w:lang w:val="en-US" w:eastAsia="zh-CN"/>
        </w:rPr>
        <w:t>1</w:t>
      </w:r>
      <w:r>
        <w:rPr>
          <w:rFonts w:hint="eastAsia" w:asciiTheme="minorEastAsia" w:hAnsiTheme="minorEastAsia" w:eastAsiaTheme="minorEastAsia" w:cstheme="minorEastAsia"/>
          <w:kern w:val="0"/>
          <w:sz w:val="28"/>
          <w:szCs w:val="28"/>
        </w:rPr>
        <w:t>家，具体包括：</w:t>
      </w:r>
      <w:r>
        <w:rPr>
          <w:rFonts w:hint="eastAsia" w:asciiTheme="minorEastAsia" w:hAnsiTheme="minorEastAsia" w:eastAsiaTheme="minorEastAsia" w:cstheme="minorEastAsia"/>
          <w:b w:val="0"/>
          <w:bCs w:val="0"/>
          <w:i w:val="0"/>
          <w:iCs w:val="0"/>
          <w:smallCaps w:val="0"/>
          <w:color w:val="000000"/>
          <w:kern w:val="0"/>
          <w:sz w:val="28"/>
          <w:szCs w:val="28"/>
          <w:lang w:val="en-US" w:eastAsia="zh-CN"/>
        </w:rPr>
        <w:t>呼和浩特市盲人按摩医院</w:t>
      </w:r>
      <w:r>
        <w:rPr>
          <w:rFonts w:hint="eastAsia" w:asciiTheme="minorEastAsia" w:hAnsiTheme="minorEastAsia" w:eastAsiaTheme="minorEastAsia" w:cstheme="minorEastAsia"/>
          <w:kern w:val="0"/>
          <w:sz w:val="28"/>
          <w:szCs w:val="28"/>
        </w:rPr>
        <w:t>。详细情况见表：</w:t>
      </w:r>
    </w:p>
    <w:tbl>
      <w:tblPr>
        <w:tblStyle w:val="21"/>
        <w:tblW w:w="3514"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65"/>
        <w:gridCol w:w="3171"/>
        <w:gridCol w:w="3140"/>
      </w:tblGrid>
      <w:tr w14:paraId="265D0972">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1037" w:hRule="atLeast"/>
          <w:tblHeader/>
          <w:jc w:val="center"/>
        </w:trPr>
        <w:tc>
          <w:tcPr>
            <w:tcW w:w="411" w:type="pct"/>
            <w:tcBorders>
              <w:bottom w:val="inset" w:color="808080" w:sz="6" w:space="0"/>
              <w:right w:val="inset" w:color="808080" w:sz="6" w:space="0"/>
            </w:tcBorders>
            <w:noWrap w:val="0"/>
            <w:tcMar>
              <w:top w:w="22" w:type="dxa"/>
              <w:left w:w="22" w:type="dxa"/>
              <w:bottom w:w="22" w:type="dxa"/>
              <w:right w:w="22" w:type="dxa"/>
            </w:tcMar>
            <w:vAlign w:val="center"/>
          </w:tcPr>
          <w:p w14:paraId="5D2FA98B">
            <w:pPr>
              <w:widowControl/>
              <w:jc w:val="center"/>
              <w:rPr>
                <w:rFonts w:hint="eastAsia" w:asciiTheme="minorEastAsia" w:hAnsiTheme="minorEastAsia" w:eastAsiaTheme="minorEastAsia" w:cstheme="minorEastAsia"/>
                <w:b w:val="0"/>
                <w:bCs w:val="0"/>
                <w:i w:val="0"/>
                <w:iCs w:val="0"/>
                <w:smallCaps w:val="0"/>
                <w:color w:val="000000"/>
                <w:kern w:val="0"/>
                <w:sz w:val="28"/>
                <w:szCs w:val="28"/>
              </w:rPr>
            </w:pPr>
            <w:r>
              <w:rPr>
                <w:rFonts w:hint="eastAsia" w:asciiTheme="minorEastAsia" w:hAnsiTheme="minorEastAsia" w:eastAsiaTheme="minorEastAsia" w:cstheme="minorEastAsia"/>
                <w:b w:val="0"/>
                <w:bCs w:val="0"/>
                <w:i w:val="0"/>
                <w:iCs w:val="0"/>
                <w:smallCaps w:val="0"/>
                <w:color w:val="000000"/>
                <w:kern w:val="0"/>
                <w:sz w:val="28"/>
                <w:szCs w:val="28"/>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8CE87DE">
            <w:pPr>
              <w:widowControl/>
              <w:jc w:val="center"/>
              <w:rPr>
                <w:rFonts w:hint="eastAsia" w:asciiTheme="minorEastAsia" w:hAnsiTheme="minorEastAsia" w:eastAsiaTheme="minorEastAsia" w:cstheme="minorEastAsia"/>
                <w:b w:val="0"/>
                <w:bCs w:val="0"/>
                <w:i w:val="0"/>
                <w:iCs w:val="0"/>
                <w:smallCaps w:val="0"/>
                <w:color w:val="000000"/>
                <w:kern w:val="0"/>
                <w:sz w:val="28"/>
                <w:szCs w:val="28"/>
              </w:rPr>
            </w:pPr>
            <w:r>
              <w:rPr>
                <w:rFonts w:hint="eastAsia" w:asciiTheme="minorEastAsia" w:hAnsiTheme="minorEastAsia" w:eastAsiaTheme="minorEastAsia" w:cstheme="minorEastAsia"/>
                <w:b w:val="0"/>
                <w:bCs w:val="0"/>
                <w:i w:val="0"/>
                <w:iCs w:val="0"/>
                <w:smallCaps w:val="0"/>
                <w:color w:val="000000"/>
                <w:kern w:val="0"/>
                <w:sz w:val="28"/>
                <w:szCs w:val="28"/>
              </w:rPr>
              <w:t>单位名称</w:t>
            </w:r>
          </w:p>
        </w:tc>
        <w:tc>
          <w:tcPr>
            <w:tcW w:w="2282" w:type="pct"/>
            <w:tcBorders>
              <w:left w:val="inset" w:color="808080" w:sz="6" w:space="0"/>
              <w:bottom w:val="inset" w:color="808080" w:sz="6" w:space="0"/>
            </w:tcBorders>
            <w:noWrap w:val="0"/>
            <w:tcMar>
              <w:top w:w="22" w:type="dxa"/>
              <w:left w:w="22" w:type="dxa"/>
              <w:bottom w:w="22" w:type="dxa"/>
              <w:right w:w="22" w:type="dxa"/>
            </w:tcMar>
            <w:vAlign w:val="center"/>
          </w:tcPr>
          <w:p w14:paraId="3212761F">
            <w:pPr>
              <w:widowControl/>
              <w:jc w:val="center"/>
              <w:rPr>
                <w:rFonts w:hint="eastAsia" w:asciiTheme="minorEastAsia" w:hAnsiTheme="minorEastAsia" w:eastAsiaTheme="minorEastAsia" w:cstheme="minorEastAsia"/>
                <w:b w:val="0"/>
                <w:bCs w:val="0"/>
                <w:i w:val="0"/>
                <w:iCs w:val="0"/>
                <w:smallCaps w:val="0"/>
                <w:color w:val="000000"/>
                <w:kern w:val="0"/>
                <w:sz w:val="28"/>
                <w:szCs w:val="28"/>
              </w:rPr>
            </w:pPr>
            <w:r>
              <w:rPr>
                <w:rFonts w:hint="eastAsia" w:asciiTheme="minorEastAsia" w:hAnsiTheme="minorEastAsia" w:eastAsiaTheme="minorEastAsia" w:cstheme="minorEastAsia"/>
                <w:b w:val="0"/>
                <w:bCs w:val="0"/>
                <w:i w:val="0"/>
                <w:iCs w:val="0"/>
                <w:smallCaps w:val="0"/>
                <w:color w:val="000000"/>
                <w:kern w:val="0"/>
                <w:sz w:val="28"/>
                <w:szCs w:val="28"/>
              </w:rPr>
              <w:t>单位性质</w:t>
            </w:r>
          </w:p>
        </w:tc>
      </w:tr>
      <w:tr w14:paraId="37E03F84">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EBCF3BD">
            <w:pPr>
              <w:widowControl/>
              <w:jc w:val="center"/>
              <w:rPr>
                <w:rFonts w:hint="eastAsia" w:asciiTheme="minorEastAsia" w:hAnsiTheme="minorEastAsia" w:eastAsiaTheme="minorEastAsia" w:cstheme="minorEastAsia"/>
                <w:b w:val="0"/>
                <w:bCs w:val="0"/>
                <w:i w:val="0"/>
                <w:iCs w:val="0"/>
                <w:smallCaps w:val="0"/>
                <w:color w:val="000000"/>
                <w:kern w:val="0"/>
                <w:sz w:val="28"/>
                <w:szCs w:val="28"/>
              </w:rPr>
            </w:pPr>
            <w:r>
              <w:rPr>
                <w:rFonts w:hint="eastAsia" w:asciiTheme="minorEastAsia" w:hAnsiTheme="minorEastAsia" w:eastAsiaTheme="minorEastAsia" w:cstheme="minorEastAsia"/>
                <w:b w:val="0"/>
                <w:bCs w:val="0"/>
                <w:i w:val="0"/>
                <w:iCs w:val="0"/>
                <w:smallCaps w:val="0"/>
                <w:color w:val="000000"/>
                <w:kern w:val="0"/>
                <w:sz w:val="28"/>
                <w:szCs w:val="28"/>
              </w:rPr>
              <w:t>1</w:t>
            </w: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B5D6966">
            <w:pPr>
              <w:widowControl/>
              <w:jc w:val="left"/>
              <w:rPr>
                <w:rFonts w:hint="eastAsia" w:asciiTheme="minorEastAsia" w:hAnsiTheme="minorEastAsia" w:eastAsiaTheme="minorEastAsia" w:cstheme="minorEastAsia"/>
                <w:b w:val="0"/>
                <w:bCs w:val="0"/>
                <w:i w:val="0"/>
                <w:iCs w:val="0"/>
                <w:smallCaps w:val="0"/>
                <w:color w:val="000000"/>
                <w:kern w:val="0"/>
                <w:sz w:val="28"/>
                <w:szCs w:val="28"/>
                <w:lang w:val="en-US" w:eastAsia="zh-CN"/>
              </w:rPr>
            </w:pPr>
            <w:r>
              <w:rPr>
                <w:rFonts w:hint="eastAsia" w:asciiTheme="minorEastAsia" w:hAnsiTheme="minorEastAsia" w:eastAsiaTheme="minorEastAsia" w:cstheme="minorEastAsia"/>
                <w:b w:val="0"/>
                <w:bCs w:val="0"/>
                <w:i w:val="0"/>
                <w:iCs w:val="0"/>
                <w:smallCaps w:val="0"/>
                <w:color w:val="000000"/>
                <w:kern w:val="0"/>
                <w:sz w:val="28"/>
                <w:szCs w:val="28"/>
                <w:lang w:val="en-US" w:eastAsia="zh-CN"/>
              </w:rPr>
              <w:t>呼和浩特市盲人按摩医院</w:t>
            </w:r>
          </w:p>
        </w:tc>
        <w:tc>
          <w:tcPr>
            <w:tcW w:w="2282"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793659DF">
            <w:pPr>
              <w:widowControl/>
              <w:jc w:val="left"/>
              <w:rPr>
                <w:rFonts w:hint="eastAsia" w:asciiTheme="minorEastAsia" w:hAnsiTheme="minorEastAsia" w:eastAsiaTheme="minorEastAsia" w:cstheme="minorEastAsia"/>
                <w:b w:val="0"/>
                <w:bCs w:val="0"/>
                <w:i w:val="0"/>
                <w:iCs w:val="0"/>
                <w:smallCaps w:val="0"/>
                <w:color w:val="000000"/>
                <w:kern w:val="0"/>
                <w:sz w:val="28"/>
                <w:szCs w:val="28"/>
              </w:rPr>
            </w:pPr>
            <w:r>
              <w:rPr>
                <w:rFonts w:hint="eastAsia" w:asciiTheme="minorEastAsia" w:hAnsiTheme="minorEastAsia" w:eastAsiaTheme="minorEastAsia" w:cstheme="minorEastAsia"/>
                <w:b w:val="0"/>
                <w:bCs w:val="0"/>
                <w:i w:val="0"/>
                <w:iCs w:val="0"/>
                <w:smallCaps w:val="0"/>
                <w:color w:val="000000"/>
                <w:kern w:val="0"/>
                <w:sz w:val="28"/>
                <w:szCs w:val="28"/>
              </w:rPr>
              <w:t>公益一类事业单位</w:t>
            </w:r>
          </w:p>
        </w:tc>
      </w:tr>
      <w:tr w14:paraId="5E354855">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BA8AE5B">
            <w:pPr>
              <w:widowControl/>
              <w:jc w:val="center"/>
              <w:rPr>
                <w:rFonts w:hint="eastAsia" w:asciiTheme="minorEastAsia" w:hAnsiTheme="minorEastAsia" w:eastAsiaTheme="minorEastAsia" w:cstheme="minorEastAsia"/>
                <w:b w:val="0"/>
                <w:bCs w:val="0"/>
                <w:i w:val="0"/>
                <w:iCs w:val="0"/>
                <w:smallCaps w:val="0"/>
                <w:color w:val="000000"/>
                <w:kern w:val="0"/>
                <w:sz w:val="28"/>
                <w:szCs w:val="28"/>
              </w:rPr>
            </w:pP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1082DD2">
            <w:pPr>
              <w:widowControl/>
              <w:jc w:val="left"/>
              <w:rPr>
                <w:rFonts w:hint="eastAsia" w:asciiTheme="minorEastAsia" w:hAnsiTheme="minorEastAsia" w:eastAsiaTheme="minorEastAsia" w:cstheme="minorEastAsia"/>
                <w:b w:val="0"/>
                <w:bCs w:val="0"/>
                <w:i w:val="0"/>
                <w:iCs w:val="0"/>
                <w:smallCaps w:val="0"/>
                <w:color w:val="000000"/>
                <w:kern w:val="0"/>
                <w:sz w:val="28"/>
                <w:szCs w:val="28"/>
              </w:rPr>
            </w:pPr>
          </w:p>
        </w:tc>
        <w:tc>
          <w:tcPr>
            <w:tcW w:w="2282"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23CC1D9C">
            <w:pPr>
              <w:widowControl/>
              <w:jc w:val="left"/>
              <w:rPr>
                <w:rFonts w:hint="eastAsia" w:asciiTheme="minorEastAsia" w:hAnsiTheme="minorEastAsia" w:eastAsiaTheme="minorEastAsia" w:cstheme="minorEastAsia"/>
                <w:b w:val="0"/>
                <w:bCs w:val="0"/>
                <w:i w:val="0"/>
                <w:iCs w:val="0"/>
                <w:smallCaps w:val="0"/>
                <w:color w:val="000000"/>
                <w:kern w:val="0"/>
                <w:sz w:val="28"/>
                <w:szCs w:val="28"/>
              </w:rPr>
            </w:pPr>
          </w:p>
        </w:tc>
      </w:tr>
    </w:tbl>
    <w:p w14:paraId="2D15C802">
      <w:pPr>
        <w:widowControl/>
        <w:spacing w:before="240" w:after="240"/>
        <w:ind w:firstLine="393"/>
        <w:jc w:val="left"/>
        <w:rPr>
          <w:rFonts w:hint="eastAsia" w:asciiTheme="minorEastAsia" w:hAnsiTheme="minorEastAsia" w:eastAsiaTheme="minorEastAsia" w:cstheme="minorEastAsia"/>
          <w:color w:val="0E00FE"/>
          <w:kern w:val="0"/>
          <w:sz w:val="28"/>
          <w:szCs w:val="28"/>
        </w:rPr>
      </w:pPr>
      <w:r>
        <w:rPr>
          <w:rFonts w:hint="eastAsia" w:asciiTheme="minorEastAsia" w:hAnsiTheme="minorEastAsia" w:eastAsiaTheme="minorEastAsia" w:cstheme="minorEastAsia"/>
          <w:color w:val="0E00FE"/>
          <w:kern w:val="0"/>
          <w:sz w:val="28"/>
          <w:szCs w:val="28"/>
        </w:rPr>
        <w:t xml:space="preserve">    </w:t>
      </w:r>
    </w:p>
    <w:p w14:paraId="16775ABF">
      <w:pPr>
        <w:widowControl/>
        <w:spacing w:before="240" w:after="240"/>
        <w:jc w:val="left"/>
        <w:rPr>
          <w:rFonts w:hint="eastAsia" w:asciiTheme="minorEastAsia" w:hAnsiTheme="minorEastAsia" w:eastAsiaTheme="minorEastAsia" w:cstheme="minorEastAsia"/>
          <w:color w:val="0E00FE"/>
          <w:kern w:val="0"/>
          <w:sz w:val="28"/>
          <w:szCs w:val="28"/>
        </w:rPr>
      </w:pPr>
    </w:p>
    <w:p w14:paraId="14B0CCCC">
      <w:pPr>
        <w:widowControl/>
        <w:spacing w:before="240" w:after="240"/>
        <w:ind w:firstLine="393"/>
        <w:jc w:val="left"/>
        <w:rPr>
          <w:rFonts w:hint="eastAsia"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三、2023年度单位主要工作完成情况</w:t>
      </w:r>
    </w:p>
    <w:p w14:paraId="1737210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auto"/>
          <w:sz w:val="28"/>
          <w:szCs w:val="28"/>
          <w:lang w:eastAsia="zh-CN"/>
        </w:rPr>
        <w:t>我院</w:t>
      </w:r>
      <w:r>
        <w:rPr>
          <w:rFonts w:hint="eastAsia" w:asciiTheme="minorEastAsia" w:hAnsiTheme="minorEastAsia" w:eastAsiaTheme="minorEastAsia" w:cstheme="minorEastAsia"/>
          <w:color w:val="auto"/>
          <w:sz w:val="28"/>
          <w:szCs w:val="28"/>
        </w:rPr>
        <w:t>紧紧围绕党的二十大精神，以习近平新时代中国特色社会主义思想</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以及2023年民政重点工作任务为指导，紧密结合学习贯彻习近平新时代中国特色社会主义思想主题教育，不断加强党的政治、思想、组织和作风建设，教育引导党员树牢“四个意识”，坚定“四个自信”，坚决做到“两个维护”，始终在政治立场、政治方向、政治原则、政治道路上同党中央保持高度一致</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b w:val="0"/>
          <w:bCs/>
          <w:color w:val="auto"/>
          <w:kern w:val="2"/>
          <w:sz w:val="28"/>
          <w:szCs w:val="28"/>
          <w:lang w:val="en-US" w:eastAsia="zh-CN" w:bidi="ar-SA"/>
        </w:rPr>
        <w:t>全面开展主题教育，</w:t>
      </w:r>
      <w:r>
        <w:rPr>
          <w:rFonts w:hint="eastAsia" w:asciiTheme="minorEastAsia" w:hAnsiTheme="minorEastAsia" w:eastAsiaTheme="minorEastAsia" w:cstheme="minorEastAsia"/>
          <w:b w:val="0"/>
          <w:bCs/>
          <w:color w:val="auto"/>
          <w:sz w:val="28"/>
          <w:szCs w:val="28"/>
          <w:lang w:eastAsia="zh-CN"/>
        </w:rPr>
        <w:t>加强民族团结教育</w:t>
      </w:r>
      <w:r>
        <w:rPr>
          <w:rFonts w:hint="eastAsia" w:asciiTheme="minorEastAsia" w:hAnsiTheme="minorEastAsia" w:eastAsiaTheme="minorEastAsia" w:cstheme="minorEastAsia"/>
          <w:b w:val="0"/>
          <w:bCs/>
          <w:color w:val="auto"/>
          <w:sz w:val="28"/>
          <w:szCs w:val="28"/>
        </w:rPr>
        <w:t>。</w:t>
      </w:r>
      <w:r>
        <w:rPr>
          <w:rFonts w:hint="eastAsia" w:asciiTheme="minorEastAsia" w:hAnsiTheme="minorEastAsia" w:eastAsiaTheme="minorEastAsia" w:cstheme="minorEastAsia"/>
          <w:color w:val="auto"/>
          <w:sz w:val="28"/>
          <w:szCs w:val="28"/>
          <w:lang w:eastAsia="zh-CN"/>
        </w:rPr>
        <w:t>重新研究制定了《党务公开工作制度》《党费收缴制度》《“三会一课”制度》，</w:t>
      </w:r>
      <w:r>
        <w:rPr>
          <w:rFonts w:hint="eastAsia" w:asciiTheme="minorEastAsia" w:hAnsiTheme="minorEastAsia" w:eastAsiaTheme="minorEastAsia" w:cstheme="minorEastAsia"/>
          <w:color w:val="auto"/>
          <w:sz w:val="28"/>
          <w:szCs w:val="28"/>
        </w:rPr>
        <w:t>修订了《执行“三重一大”事项的主要程序》《“三重一大”议事制度》《奖励性绩效工资考核发放办法（2023年试行）》等相关制度</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严肃考勤及请销假制度，严格执行“三重一大要求”</w:t>
      </w:r>
      <w:r>
        <w:rPr>
          <w:rFonts w:hint="eastAsia" w:asciiTheme="minorEastAsia" w:hAnsiTheme="minorEastAsia" w:eastAsiaTheme="minorEastAsia" w:cstheme="minorEastAsia"/>
          <w:color w:val="auto"/>
          <w:sz w:val="28"/>
          <w:szCs w:val="28"/>
          <w:lang w:eastAsia="zh-CN"/>
        </w:rPr>
        <w:t>和</w:t>
      </w:r>
      <w:r>
        <w:rPr>
          <w:rFonts w:hint="eastAsia" w:asciiTheme="minorEastAsia" w:hAnsiTheme="minorEastAsia" w:eastAsiaTheme="minorEastAsia" w:cstheme="minorEastAsia"/>
          <w:color w:val="auto"/>
          <w:sz w:val="28"/>
          <w:szCs w:val="28"/>
        </w:rPr>
        <w:t>“末位表态制”，全面推进“三务公开”，及时接受党内监督、党外监督和群众监督</w:t>
      </w:r>
      <w:r>
        <w:rPr>
          <w:rFonts w:hint="eastAsia" w:asciiTheme="minorEastAsia" w:hAnsiTheme="minorEastAsia" w:eastAsiaTheme="minorEastAsia" w:cstheme="minorEastAsia"/>
          <w:color w:val="auto"/>
          <w:sz w:val="28"/>
          <w:szCs w:val="28"/>
          <w:lang w:eastAsia="zh-CN"/>
        </w:rPr>
        <w:t>，坚持</w:t>
      </w:r>
      <w:r>
        <w:rPr>
          <w:rFonts w:hint="eastAsia" w:asciiTheme="minorEastAsia" w:hAnsiTheme="minorEastAsia" w:eastAsiaTheme="minorEastAsia" w:cstheme="minorEastAsia"/>
          <w:color w:val="auto"/>
          <w:sz w:val="28"/>
          <w:szCs w:val="28"/>
        </w:rPr>
        <w:t>管好班子、带好队伍</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抓好落实。</w:t>
      </w:r>
      <w:r>
        <w:rPr>
          <w:rFonts w:hint="eastAsia" w:asciiTheme="minorEastAsia" w:hAnsiTheme="minorEastAsia" w:eastAsiaTheme="minorEastAsia" w:cstheme="minorEastAsia"/>
          <w:sz w:val="28"/>
          <w:szCs w:val="28"/>
        </w:rPr>
        <w:t>办理开通了内蒙古自治区和呼市两级城镇职工医保定点医疗机构门诊医疗服务，</w:t>
      </w:r>
      <w:r>
        <w:rPr>
          <w:rFonts w:hint="eastAsia" w:asciiTheme="minorEastAsia" w:hAnsiTheme="minorEastAsia" w:eastAsiaTheme="minorEastAsia" w:cstheme="minorEastAsia"/>
          <w:sz w:val="28"/>
          <w:szCs w:val="28"/>
          <w:lang w:eastAsia="zh-CN"/>
        </w:rPr>
        <w:t>并</w:t>
      </w:r>
      <w:r>
        <w:rPr>
          <w:rFonts w:hint="eastAsia" w:asciiTheme="minorEastAsia" w:hAnsiTheme="minorEastAsia" w:eastAsiaTheme="minorEastAsia" w:cstheme="minorEastAsia"/>
          <w:sz w:val="28"/>
          <w:szCs w:val="28"/>
        </w:rPr>
        <w:t>已开通门诊统筹</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建立了门诊挂号收费流程化医疗信息管理系统，开通了微信公户收款二维码，规范门诊收费的监督管理</w:t>
      </w:r>
      <w:r>
        <w:rPr>
          <w:rFonts w:hint="eastAsia" w:asciiTheme="minorEastAsia" w:hAnsiTheme="minorEastAsia" w:eastAsiaTheme="minorEastAsia" w:cstheme="minorEastAsia"/>
          <w:sz w:val="28"/>
          <w:szCs w:val="28"/>
          <w:lang w:eastAsia="zh-CN"/>
        </w:rPr>
        <w:t>；康复辅助器具社区租赁正式揭牌，</w:t>
      </w:r>
      <w:r>
        <w:rPr>
          <w:rFonts w:hint="eastAsia" w:asciiTheme="minorEastAsia" w:hAnsiTheme="minorEastAsia" w:eastAsiaTheme="minorEastAsia" w:cstheme="minorEastAsia"/>
          <w:sz w:val="28"/>
          <w:szCs w:val="28"/>
        </w:rPr>
        <w:t>这标志着康复辅助器具社区租赁服务项目正式在我市落地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开展康复辅助器具社区租赁，</w:t>
      </w:r>
      <w:r>
        <w:rPr>
          <w:rFonts w:hint="eastAsia" w:asciiTheme="minorEastAsia" w:hAnsiTheme="minorEastAsia" w:eastAsiaTheme="minorEastAsia" w:cstheme="minorEastAsia"/>
          <w:sz w:val="28"/>
          <w:szCs w:val="28"/>
          <w:lang w:eastAsia="zh-CN"/>
        </w:rPr>
        <w:t>通过租赁的方式让残障人士享受到适用的康复辅具产品和服务，降低使用成本，提高使用效能，满足老</w:t>
      </w:r>
      <w:r>
        <w:rPr>
          <w:rFonts w:hint="eastAsia" w:asciiTheme="minorEastAsia" w:hAnsiTheme="minorEastAsia" w:eastAsiaTheme="minorEastAsia" w:cstheme="minorEastAsia"/>
          <w:spacing w:val="-6"/>
          <w:sz w:val="28"/>
          <w:szCs w:val="28"/>
          <w:lang w:eastAsia="zh-CN"/>
        </w:rPr>
        <w:t>年人、残障人士和伤病人员多层次、多样化康复辅具配置服务需求，</w:t>
      </w:r>
      <w:r>
        <w:rPr>
          <w:rFonts w:hint="eastAsia" w:asciiTheme="minorEastAsia" w:hAnsiTheme="minorEastAsia" w:eastAsiaTheme="minorEastAsia" w:cstheme="minorEastAsia"/>
          <w:sz w:val="28"/>
          <w:szCs w:val="28"/>
        </w:rPr>
        <w:t>为内蒙古自治区康复辅助器具社区租赁服务事业贡献力量。</w:t>
      </w:r>
    </w:p>
    <w:p w14:paraId="57C8E285">
      <w:pPr>
        <w:pStyle w:val="3"/>
        <w:keepNext w:val="0"/>
        <w:keepLines w:val="0"/>
        <w:widowControl/>
        <w:spacing w:before="299" w:after="299" w:line="240" w:lineRule="auto"/>
        <w:jc w:val="both"/>
        <w:rPr>
          <w:rFonts w:hint="eastAsia" w:asciiTheme="minorEastAsia" w:hAnsiTheme="minorEastAsia" w:eastAsiaTheme="minorEastAsia" w:cstheme="minorEastAsia"/>
          <w:kern w:val="0"/>
          <w:sz w:val="28"/>
          <w:szCs w:val="28"/>
        </w:rPr>
      </w:pPr>
    </w:p>
    <w:p w14:paraId="1BAF7653">
      <w:pPr>
        <w:pStyle w:val="3"/>
        <w:keepNext w:val="0"/>
        <w:keepLines w:val="0"/>
        <w:widowControl/>
        <w:spacing w:before="299" w:after="299" w:line="240" w:lineRule="auto"/>
        <w:jc w:val="center"/>
        <w:rPr>
          <w:rFonts w:ascii="fang_zheng_xiao_biao_song_ti" w:hAnsi="fang_zheng_xiao_biao_song_ti" w:eastAsia="fang_zheng_xiao_biao_song_ti" w:cs="fang_zheng_xiao_biao_song_ti"/>
          <w:kern w:val="0"/>
          <w:sz w:val="32"/>
          <w:szCs w:val="32"/>
        </w:rPr>
      </w:pPr>
    </w:p>
    <w:p w14:paraId="53E6F74F">
      <w:pPr>
        <w:pStyle w:val="3"/>
        <w:keepNext w:val="0"/>
        <w:keepLines w:val="0"/>
        <w:widowControl/>
        <w:spacing w:before="299" w:after="299" w:line="240" w:lineRule="auto"/>
        <w:jc w:val="center"/>
        <w:rPr>
          <w:rFonts w:ascii="Times New Roman" w:hAnsi="Times New Roman" w:eastAsia="Times New Roman" w:cs="Times New Roman"/>
          <w:b/>
          <w:bCs/>
          <w:kern w:val="0"/>
          <w:sz w:val="32"/>
          <w:szCs w:val="32"/>
        </w:rPr>
      </w:pPr>
      <w:r>
        <w:rPr>
          <w:rFonts w:ascii="fang_zheng_xiao_biao_song_ti" w:hAnsi="fang_zheng_xiao_biao_song_ti" w:eastAsia="fang_zheng_xiao_biao_song_ti" w:cs="fang_zheng_xiao_biao_song_ti"/>
          <w:kern w:val="0"/>
          <w:sz w:val="32"/>
          <w:szCs w:val="32"/>
        </w:rPr>
        <w:t>第二部分  单位决算情况说明</w:t>
      </w:r>
    </w:p>
    <w:p w14:paraId="014EB478">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一、收入支出决算总体情况说明</w:t>
      </w:r>
    </w:p>
    <w:p w14:paraId="7178BD43">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年度收入、支出决算总计</w:t>
      </w:r>
      <w:r>
        <w:rPr>
          <w:rFonts w:ascii="times_new_roman" w:hAnsi="times_new_roman" w:eastAsia="times_new_roman" w:cs="times_new_roman"/>
          <w:kern w:val="0"/>
          <w:sz w:val="28"/>
          <w:szCs w:val="28"/>
          <w:u w:val="single"/>
        </w:rPr>
        <w:t xml:space="preserve"> 566.47</w:t>
      </w:r>
      <w:r>
        <w:rPr>
          <w:rFonts w:ascii="fang_song_gb2312" w:hAnsi="fang_song_gb2312" w:eastAsia="fang_song_gb2312" w:cs="fang_song_gb2312"/>
          <w:kern w:val="0"/>
          <w:sz w:val="28"/>
          <w:szCs w:val="28"/>
        </w:rPr>
        <w:t>万元。与年初预算相比，收、支总计各增加</w:t>
      </w:r>
      <w:r>
        <w:rPr>
          <w:rFonts w:ascii="times_new_roman" w:hAnsi="times_new_roman" w:eastAsia="times_new_roman" w:cs="times_new_roman"/>
          <w:kern w:val="0"/>
          <w:sz w:val="28"/>
          <w:szCs w:val="28"/>
          <w:u w:val="single"/>
        </w:rPr>
        <w:t xml:space="preserve"> 28.14</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 xml:space="preserve"> 5.23</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2023年增加政府性基金项目资金</w:t>
      </w:r>
      <w:r>
        <w:rPr>
          <w:rFonts w:ascii="fang_song_gb2312" w:hAnsi="fang_song_gb2312" w:eastAsia="fang_song_gb2312" w:cs="fang_song_gb2312"/>
          <w:kern w:val="0"/>
          <w:sz w:val="28"/>
          <w:szCs w:val="28"/>
        </w:rPr>
        <w:t>；与上年决算相比，收、支总计各增加</w:t>
      </w:r>
      <w:r>
        <w:rPr>
          <w:rFonts w:ascii="times_new_roman" w:hAnsi="times_new_roman" w:eastAsia="times_new_roman" w:cs="times_new_roman"/>
          <w:kern w:val="0"/>
          <w:sz w:val="28"/>
          <w:szCs w:val="28"/>
          <w:u w:val="single"/>
        </w:rPr>
        <w:t xml:space="preserve"> 106.10</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 xml:space="preserve"> 23.05</w:t>
      </w:r>
      <w:r>
        <w:rPr>
          <w:rFonts w:ascii="fang_song_gb2312" w:hAnsi="fang_song_gb2312" w:eastAsia="fang_song_gb2312" w:cs="fang_song_gb2312"/>
          <w:kern w:val="0"/>
          <w:sz w:val="28"/>
          <w:szCs w:val="28"/>
        </w:rPr>
        <w:t>%。其中：</w:t>
      </w:r>
    </w:p>
    <w:p w14:paraId="3A83DEBA">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（一）收入决算总计</w:t>
      </w:r>
      <w:r>
        <w:rPr>
          <w:rFonts w:ascii="times_new_roman" w:hAnsi="times_new_roman" w:eastAsia="times_new_roman" w:cs="times_new_roman"/>
          <w:b/>
          <w:bCs/>
          <w:kern w:val="0"/>
          <w:sz w:val="28"/>
          <w:szCs w:val="28"/>
          <w:u w:val="single"/>
        </w:rPr>
        <w:t xml:space="preserve"> 566.47</w:t>
      </w:r>
      <w:r>
        <w:rPr>
          <w:rFonts w:ascii="kai_ti_gb2312" w:hAnsi="kai_ti_gb2312" w:eastAsia="kai_ti_gb2312" w:cs="kai_ti_gb2312"/>
          <w:b/>
          <w:bCs/>
          <w:kern w:val="0"/>
          <w:sz w:val="28"/>
          <w:szCs w:val="28"/>
        </w:rPr>
        <w:t>万元。包括：</w:t>
      </w:r>
    </w:p>
    <w:p w14:paraId="2BA134A2">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1.本年收入决算合计</w:t>
      </w:r>
      <w:r>
        <w:rPr>
          <w:rFonts w:ascii="times_new_roman" w:hAnsi="times_new_roman" w:eastAsia="times_new_roman" w:cs="times_new_roman"/>
          <w:kern w:val="0"/>
          <w:sz w:val="28"/>
          <w:szCs w:val="28"/>
          <w:u w:val="single"/>
        </w:rPr>
        <w:t xml:space="preserve"> 564.50</w:t>
      </w:r>
      <w:r>
        <w:rPr>
          <w:rFonts w:ascii="fang_song_gb2312" w:hAnsi="fang_song_gb2312" w:eastAsia="fang_song_gb2312" w:cs="fang_song_gb2312"/>
          <w:kern w:val="0"/>
          <w:sz w:val="28"/>
          <w:szCs w:val="28"/>
        </w:rPr>
        <w:t>万元。与上年决算相比，增加</w:t>
      </w:r>
      <w:r>
        <w:rPr>
          <w:rFonts w:ascii="times_new_roman" w:hAnsi="times_new_roman" w:eastAsia="times_new_roman" w:cs="times_new_roman"/>
          <w:kern w:val="0"/>
          <w:sz w:val="28"/>
          <w:szCs w:val="28"/>
          <w:u w:val="single"/>
        </w:rPr>
        <w:t xml:space="preserve"> 104.20</w:t>
      </w:r>
      <w:r>
        <w:rPr>
          <w:rFonts w:ascii="fang_song_gb2312" w:hAnsi="fang_song_gb2312" w:eastAsia="fang_song_gb2312" w:cs="fang_song_gb2312"/>
          <w:kern w:val="0"/>
          <w:sz w:val="28"/>
          <w:szCs w:val="28"/>
        </w:rPr>
        <w:t xml:space="preserve">万元，增长 </w:t>
      </w:r>
      <w:r>
        <w:rPr>
          <w:rFonts w:ascii="times_new_roman" w:hAnsi="times_new_roman" w:eastAsia="times_new_roman" w:cs="times_new_roman"/>
          <w:kern w:val="0"/>
          <w:sz w:val="28"/>
          <w:szCs w:val="28"/>
          <w:u w:val="single"/>
        </w:rPr>
        <w:t>22.64</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2023年增加政府性基金项目资金和开通门诊统筹单位按摩收入增加</w:t>
      </w:r>
      <w:r>
        <w:rPr>
          <w:rFonts w:ascii="fang_song_gb2312" w:hAnsi="fang_song_gb2312" w:eastAsia="fang_song_gb2312" w:cs="fang_song_gb2312"/>
          <w:kern w:val="0"/>
          <w:sz w:val="28"/>
          <w:szCs w:val="28"/>
        </w:rPr>
        <w:t>。</w:t>
      </w:r>
    </w:p>
    <w:p w14:paraId="78A54222">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2.使用非财政拨款结余和专用结余</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万元。与上年决算相比，增加（减少）</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万元，增长（减少）</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%，变动原因：</w:t>
      </w:r>
      <w:r>
        <w:rPr>
          <w:rFonts w:hint="eastAsia" w:ascii="fang_song_gb2312" w:hAnsi="fang_song_gb2312" w:cs="fang_song_gb2312"/>
          <w:color w:val="auto"/>
          <w:kern w:val="0"/>
          <w:sz w:val="28"/>
          <w:szCs w:val="28"/>
          <w:lang w:val="en-US" w:eastAsia="zh-CN"/>
        </w:rPr>
        <w:t>无增减变动</w:t>
      </w:r>
      <w:r>
        <w:rPr>
          <w:rFonts w:ascii="fang_song_gb2312" w:hAnsi="fang_song_gb2312" w:eastAsia="fang_song_gb2312" w:cs="fang_song_gb2312"/>
          <w:color w:val="auto"/>
          <w:kern w:val="0"/>
          <w:sz w:val="28"/>
          <w:szCs w:val="28"/>
        </w:rPr>
        <w:t>为不存在此项内容</w:t>
      </w:r>
      <w:r>
        <w:rPr>
          <w:rFonts w:ascii="fang_song_gb2312" w:hAnsi="fang_song_gb2312" w:eastAsia="fang_song_gb2312" w:cs="fang_song_gb2312"/>
          <w:kern w:val="0"/>
          <w:sz w:val="28"/>
          <w:szCs w:val="28"/>
        </w:rPr>
        <w:t>。</w:t>
      </w:r>
    </w:p>
    <w:p w14:paraId="5B19BF84">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3.年初结转和结余 </w:t>
      </w:r>
      <w:r>
        <w:rPr>
          <w:rFonts w:ascii="times_new_roman" w:hAnsi="times_new_roman" w:eastAsia="times_new_roman" w:cs="times_new_roman"/>
          <w:kern w:val="0"/>
          <w:sz w:val="28"/>
          <w:szCs w:val="28"/>
          <w:u w:val="single"/>
        </w:rPr>
        <w:t>1.97</w:t>
      </w:r>
      <w:r>
        <w:rPr>
          <w:rFonts w:ascii="fang_song_gb2312" w:hAnsi="fang_song_gb2312" w:eastAsia="fang_song_gb2312" w:cs="fang_song_gb2312"/>
          <w:kern w:val="0"/>
          <w:sz w:val="28"/>
          <w:szCs w:val="28"/>
        </w:rPr>
        <w:t>万元。与上年决算相比，增加</w:t>
      </w:r>
      <w:r>
        <w:rPr>
          <w:rFonts w:ascii="times_new_roman" w:hAnsi="times_new_roman" w:eastAsia="times_new_roman" w:cs="times_new_roman"/>
          <w:kern w:val="0"/>
          <w:sz w:val="28"/>
          <w:szCs w:val="28"/>
          <w:u w:val="single"/>
        </w:rPr>
        <w:t xml:space="preserve"> 1.90</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 xml:space="preserve"> 2,546.39</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会计调整年初结转结余</w:t>
      </w:r>
      <w:r>
        <w:rPr>
          <w:rFonts w:ascii="fang_song_gb2312" w:hAnsi="fang_song_gb2312" w:eastAsia="fang_song_gb2312" w:cs="fang_song_gb2312"/>
          <w:kern w:val="0"/>
          <w:sz w:val="28"/>
          <w:szCs w:val="28"/>
        </w:rPr>
        <w:t>。</w:t>
      </w:r>
    </w:p>
    <w:p w14:paraId="66FD8C38">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（二）支出决算总计</w:t>
      </w:r>
      <w:r>
        <w:rPr>
          <w:rFonts w:ascii="times_new_roman" w:hAnsi="times_new_roman" w:eastAsia="times_new_roman" w:cs="times_new_roman"/>
          <w:b/>
          <w:bCs/>
          <w:kern w:val="0"/>
          <w:sz w:val="28"/>
          <w:szCs w:val="28"/>
          <w:u w:val="single"/>
        </w:rPr>
        <w:t xml:space="preserve"> 566.47</w:t>
      </w:r>
      <w:r>
        <w:rPr>
          <w:rFonts w:ascii="kai_ti_gb2312" w:hAnsi="kai_ti_gb2312" w:eastAsia="kai_ti_gb2312" w:cs="kai_ti_gb2312"/>
          <w:b/>
          <w:bCs/>
          <w:kern w:val="0"/>
          <w:sz w:val="28"/>
          <w:szCs w:val="28"/>
        </w:rPr>
        <w:t>万元。包括：</w:t>
      </w:r>
    </w:p>
    <w:p w14:paraId="68C4C487">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1.本年支出决算合计</w:t>
      </w:r>
      <w:r>
        <w:rPr>
          <w:rFonts w:ascii="times_new_roman" w:hAnsi="times_new_roman" w:eastAsia="times_new_roman" w:cs="times_new_roman"/>
          <w:kern w:val="0"/>
          <w:sz w:val="28"/>
          <w:szCs w:val="28"/>
          <w:u w:val="single"/>
        </w:rPr>
        <w:t xml:space="preserve"> 533.34</w:t>
      </w:r>
      <w:r>
        <w:rPr>
          <w:rFonts w:ascii="fang_song_gb2312" w:hAnsi="fang_song_gb2312" w:eastAsia="fang_song_gb2312" w:cs="fang_song_gb2312"/>
          <w:kern w:val="0"/>
          <w:sz w:val="28"/>
          <w:szCs w:val="28"/>
        </w:rPr>
        <w:t>万元。与上年决算相比，增加</w:t>
      </w:r>
      <w:r>
        <w:rPr>
          <w:rFonts w:ascii="times_new_roman" w:hAnsi="times_new_roman" w:eastAsia="times_new_roman" w:cs="times_new_roman"/>
          <w:kern w:val="0"/>
          <w:sz w:val="28"/>
          <w:szCs w:val="28"/>
          <w:u w:val="single"/>
        </w:rPr>
        <w:t xml:space="preserve"> 72.99</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 xml:space="preserve"> 15.86</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2023年增加政府性基金项目资金和单位业务扩大患者增加运行经费增加</w:t>
      </w:r>
      <w:r>
        <w:rPr>
          <w:rFonts w:ascii="fang_song_gb2312" w:hAnsi="fang_song_gb2312" w:eastAsia="fang_song_gb2312" w:cs="fang_song_gb2312"/>
          <w:kern w:val="0"/>
          <w:sz w:val="28"/>
          <w:szCs w:val="28"/>
        </w:rPr>
        <w:t>。</w:t>
      </w:r>
    </w:p>
    <w:p w14:paraId="28E41050">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2.结余分配</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万元。结余分配事项：</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。与上年决算相比，增加（减少）</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万元，增长（减少）</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无</w:t>
      </w:r>
      <w:r>
        <w:rPr>
          <w:rFonts w:hint="eastAsia" w:ascii="fang_song_gb2312" w:hAnsi="fang_song_gb2312" w:cs="fang_song_gb2312"/>
          <w:color w:val="auto"/>
          <w:kern w:val="0"/>
          <w:sz w:val="28"/>
          <w:szCs w:val="28"/>
          <w:lang w:val="en-US" w:eastAsia="zh-CN"/>
        </w:rPr>
        <w:t>增减变动</w:t>
      </w:r>
      <w:r>
        <w:rPr>
          <w:rFonts w:ascii="fang_song_gb2312" w:hAnsi="fang_song_gb2312" w:eastAsia="fang_song_gb2312" w:cs="fang_song_gb2312"/>
          <w:color w:val="auto"/>
          <w:kern w:val="0"/>
          <w:sz w:val="28"/>
          <w:szCs w:val="28"/>
        </w:rPr>
        <w:t>为不存在此项内容</w:t>
      </w:r>
      <w:r>
        <w:rPr>
          <w:rFonts w:ascii="fang_song_gb2312" w:hAnsi="fang_song_gb2312" w:eastAsia="fang_song_gb2312" w:cs="fang_song_gb2312"/>
          <w:kern w:val="0"/>
          <w:sz w:val="28"/>
          <w:szCs w:val="28"/>
        </w:rPr>
        <w:t>。</w:t>
      </w:r>
    </w:p>
    <w:p w14:paraId="30475BBB">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3.年末结转和结余</w:t>
      </w:r>
      <w:r>
        <w:rPr>
          <w:rFonts w:ascii="times_new_roman" w:hAnsi="times_new_roman" w:eastAsia="times_new_roman" w:cs="times_new_roman"/>
          <w:kern w:val="0"/>
          <w:sz w:val="28"/>
          <w:szCs w:val="28"/>
          <w:u w:val="single"/>
        </w:rPr>
        <w:t xml:space="preserve"> 33.13</w:t>
      </w:r>
      <w:r>
        <w:rPr>
          <w:rFonts w:ascii="fang_song_gb2312" w:hAnsi="fang_song_gb2312" w:eastAsia="fang_song_gb2312" w:cs="fang_song_gb2312"/>
          <w:kern w:val="0"/>
          <w:sz w:val="28"/>
          <w:szCs w:val="28"/>
        </w:rPr>
        <w:t>万元。结转和结余事项：</w:t>
      </w:r>
      <w:r>
        <w:rPr>
          <w:rFonts w:hint="eastAsia" w:ascii="fang_song_gb2312" w:hAnsi="fang_song_gb2312" w:cs="fang_song_gb2312"/>
          <w:kern w:val="0"/>
          <w:sz w:val="28"/>
          <w:szCs w:val="28"/>
          <w:lang w:val="en-US" w:eastAsia="zh-CN"/>
        </w:rPr>
        <w:t>单位按摩收入增加</w:t>
      </w:r>
      <w:r>
        <w:rPr>
          <w:rFonts w:ascii="fang_song_gb2312" w:hAnsi="fang_song_gb2312" w:eastAsia="fang_song_gb2312" w:cs="fang_song_gb2312"/>
          <w:kern w:val="0"/>
          <w:sz w:val="28"/>
          <w:szCs w:val="28"/>
        </w:rPr>
        <w:t>。与上年决算相比，增加</w:t>
      </w:r>
      <w:r>
        <w:rPr>
          <w:rFonts w:ascii="times_new_roman" w:hAnsi="times_new_roman" w:eastAsia="times_new_roman" w:cs="times_new_roman"/>
          <w:kern w:val="0"/>
          <w:sz w:val="28"/>
          <w:szCs w:val="28"/>
          <w:u w:val="single"/>
        </w:rPr>
        <w:t xml:space="preserve"> 33.10</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126,460.65</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2023年单位开通两级医保门诊统筹，单位按摩业务收入迅猛式增加</w:t>
      </w:r>
      <w:r>
        <w:rPr>
          <w:rFonts w:ascii="fang_song_gb2312" w:hAnsi="fang_song_gb2312" w:eastAsia="fang_song_gb2312" w:cs="fang_song_gb2312"/>
          <w:kern w:val="0"/>
          <w:sz w:val="28"/>
          <w:szCs w:val="28"/>
        </w:rPr>
        <w:t>。</w:t>
      </w:r>
    </w:p>
    <w:p w14:paraId="5184DB7E">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xml:space="preserve">    </w:t>
      </w:r>
    </w:p>
    <w:p w14:paraId="35BD3A79">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28"/>
          <w:szCs w:val="28"/>
        </w:rPr>
        <w:t> </w:t>
      </w:r>
      <w:r>
        <w:rPr>
          <w:rFonts w:ascii="黑体" w:hAnsi="黑体" w:eastAsia="黑体" w:cs="黑体"/>
          <w:b/>
          <w:bCs/>
          <w:kern w:val="0"/>
          <w:sz w:val="30"/>
          <w:szCs w:val="30"/>
        </w:rPr>
        <w:t xml:space="preserve"> 二、收入决算情况说明</w:t>
      </w:r>
    </w:p>
    <w:p w14:paraId="7D854BBA">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w:t>
      </w: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年度本年收入决算合计</w:t>
      </w:r>
      <w:r>
        <w:rPr>
          <w:rFonts w:ascii="times_new_roman" w:hAnsi="times_new_roman" w:eastAsia="times_new_roman" w:cs="times_new_roman"/>
          <w:kern w:val="0"/>
          <w:sz w:val="28"/>
          <w:szCs w:val="28"/>
          <w:u w:val="single"/>
        </w:rPr>
        <w:t xml:space="preserve"> 564.50</w:t>
      </w:r>
      <w:r>
        <w:rPr>
          <w:rFonts w:ascii="fang_song_gb2312" w:hAnsi="fang_song_gb2312" w:eastAsia="fang_song_gb2312" w:cs="fang_song_gb2312"/>
          <w:kern w:val="0"/>
          <w:sz w:val="28"/>
          <w:szCs w:val="28"/>
        </w:rPr>
        <w:t>万元，其中：</w:t>
      </w:r>
    </w:p>
    <w:p w14:paraId="62776172">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本年一般公共预算财政拨款收入</w:t>
      </w:r>
      <w:r>
        <w:rPr>
          <w:rFonts w:ascii="times_new_roman" w:hAnsi="times_new_roman" w:eastAsia="times_new_roman" w:cs="times_new_roman"/>
          <w:kern w:val="0"/>
          <w:sz w:val="28"/>
          <w:szCs w:val="28"/>
          <w:u w:val="single"/>
        </w:rPr>
        <w:t xml:space="preserve"> 400.73</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70.99</w:t>
      </w:r>
      <w:r>
        <w:rPr>
          <w:rFonts w:ascii="fang_song_gb2312" w:hAnsi="fang_song_gb2312" w:eastAsia="fang_song_gb2312" w:cs="fang_song_gb2312"/>
          <w:kern w:val="0"/>
          <w:sz w:val="28"/>
          <w:szCs w:val="28"/>
        </w:rPr>
        <w:t>%；</w:t>
      </w:r>
    </w:p>
    <w:p w14:paraId="1BF72B22">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本年政府性基金预算财政拨款收入</w:t>
      </w:r>
      <w:r>
        <w:rPr>
          <w:rFonts w:ascii="times_new_roman" w:hAnsi="times_new_roman" w:eastAsia="times_new_roman" w:cs="times_new_roman"/>
          <w:kern w:val="0"/>
          <w:sz w:val="28"/>
          <w:szCs w:val="28"/>
          <w:u w:val="single"/>
        </w:rPr>
        <w:t xml:space="preserve"> 63.50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11.25</w:t>
      </w:r>
      <w:r>
        <w:rPr>
          <w:rFonts w:ascii="fang_song_gb2312" w:hAnsi="fang_song_gb2312" w:eastAsia="fang_song_gb2312" w:cs="fang_song_gb2312"/>
          <w:kern w:val="0"/>
          <w:sz w:val="28"/>
          <w:szCs w:val="28"/>
        </w:rPr>
        <w:t>%；</w:t>
      </w:r>
    </w:p>
    <w:p w14:paraId="0C06263A">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本年国有资本经营预算财政拨款收入</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44F13611">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本年上级补助收入</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1E6434B8">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本年事业收入</w:t>
      </w:r>
      <w:r>
        <w:rPr>
          <w:rFonts w:ascii="times_new_roman" w:hAnsi="times_new_roman" w:eastAsia="times_new_roman" w:cs="times_new_roman"/>
          <w:kern w:val="0"/>
          <w:sz w:val="28"/>
          <w:szCs w:val="28"/>
          <w:u w:val="single"/>
        </w:rPr>
        <w:t xml:space="preserve"> 99.46</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17.62</w:t>
      </w:r>
      <w:r>
        <w:rPr>
          <w:rFonts w:ascii="fang_song_gb2312" w:hAnsi="fang_song_gb2312" w:eastAsia="fang_song_gb2312" w:cs="fang_song_gb2312"/>
          <w:kern w:val="0"/>
          <w:sz w:val="28"/>
          <w:szCs w:val="28"/>
        </w:rPr>
        <w:t>%；</w:t>
      </w:r>
    </w:p>
    <w:p w14:paraId="7B948FB4">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本年经营收入</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5107BCE4">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本年附属单位上缴收入</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57DD94FF">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本年其他收入</w:t>
      </w:r>
      <w:r>
        <w:rPr>
          <w:rFonts w:ascii="times_new_roman" w:hAnsi="times_new_roman" w:eastAsia="times_new_roman" w:cs="times_new_roman"/>
          <w:kern w:val="0"/>
          <w:sz w:val="28"/>
          <w:szCs w:val="28"/>
          <w:u w:val="single"/>
        </w:rPr>
        <w:t xml:space="preserve"> 0.81</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0.14</w:t>
      </w:r>
      <w:r>
        <w:rPr>
          <w:rFonts w:ascii="fang_song_gb2312" w:hAnsi="fang_song_gb2312" w:eastAsia="fang_song_gb2312" w:cs="fang_song_gb2312"/>
          <w:kern w:val="0"/>
          <w:sz w:val="28"/>
          <w:szCs w:val="28"/>
        </w:rPr>
        <w:t>%。</w:t>
      </w:r>
    </w:p>
    <w:p w14:paraId="0DC92B52">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xml:space="preserve">    </w:t>
      </w:r>
      <w:r>
        <w:rPr>
          <w:rFonts w:hint="eastAsia" w:ascii="Times New Roman" w:hAnsi="Times New Roman" w:eastAsia="宋体" w:cs="Times New Roman"/>
          <w:kern w:val="0"/>
          <w:sz w:val="28"/>
          <w:szCs w:val="28"/>
          <w:lang w:eastAsia="zh-CN"/>
        </w:rPr>
        <w:drawing>
          <wp:inline distT="0" distB="0" distL="114300" distR="114300">
            <wp:extent cx="5256530" cy="2988310"/>
            <wp:effectExtent l="5080" t="4445" r="15240" b="17145"/>
            <wp:docPr id="2" name="图表 2" descr="7b0a202020202263686172745265734964223a202232303139363436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4F7603B">
      <w:pPr>
        <w:widowControl/>
        <w:spacing w:before="240" w:after="240"/>
        <w:ind w:firstLine="3360" w:firstLineChars="1200"/>
        <w:jc w:val="both"/>
        <w:rPr>
          <w:rFonts w:ascii="fang_song_gb2312" w:hAnsi="fang_song_gb2312" w:eastAsia="fang_song_gb2312" w:cs="fang_song_gb2312"/>
          <w:kern w:val="0"/>
          <w:sz w:val="28"/>
          <w:szCs w:val="28"/>
        </w:rPr>
      </w:pPr>
      <w:r>
        <w:rPr>
          <w:rFonts w:ascii="fang_song_gb2312" w:hAnsi="fang_song_gb2312" w:eastAsia="fang_song_gb2312" w:cs="fang_song_gb2312"/>
          <w:kern w:val="0"/>
          <w:sz w:val="28"/>
          <w:szCs w:val="28"/>
        </w:rPr>
        <w:t>图</w:t>
      </w:r>
      <w:r>
        <w:rPr>
          <w:rFonts w:ascii="times_new_roman" w:hAnsi="times_new_roman" w:eastAsia="times_new_roman" w:cs="times_new_roman"/>
          <w:kern w:val="0"/>
          <w:sz w:val="28"/>
          <w:szCs w:val="28"/>
        </w:rPr>
        <w:t>1</w:t>
      </w:r>
      <w:r>
        <w:rPr>
          <w:rFonts w:ascii="fang_song_gb2312" w:hAnsi="fang_song_gb2312" w:eastAsia="fang_song_gb2312" w:cs="fang_song_gb2312"/>
          <w:kern w:val="0"/>
          <w:sz w:val="28"/>
          <w:szCs w:val="28"/>
        </w:rPr>
        <w:t>.收入决算图</w:t>
      </w:r>
    </w:p>
    <w:p w14:paraId="032A60CE">
      <w:pPr>
        <w:widowControl/>
        <w:spacing w:before="240" w:after="240"/>
        <w:jc w:val="left"/>
        <w:rPr>
          <w:rFonts w:ascii="Calibri" w:hAnsi="Calibri" w:eastAsia="Calibri" w:cs="Calibri"/>
          <w:b/>
          <w:bCs/>
          <w:kern w:val="0"/>
          <w:sz w:val="28"/>
          <w:szCs w:val="28"/>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28"/>
          <w:szCs w:val="28"/>
        </w:rPr>
        <w:t> </w:t>
      </w:r>
    </w:p>
    <w:p w14:paraId="6144BFFD">
      <w:pPr>
        <w:widowControl/>
        <w:spacing w:before="240" w:after="240"/>
        <w:jc w:val="left"/>
        <w:rPr>
          <w:rFonts w:ascii="Times New Roman" w:hAnsi="Times New Roman" w:eastAsia="Times New Roman" w:cs="Times New Roman"/>
          <w:kern w:val="0"/>
          <w:sz w:val="30"/>
          <w:szCs w:val="30"/>
        </w:rPr>
      </w:pPr>
      <w:r>
        <w:rPr>
          <w:rFonts w:ascii="黑体" w:hAnsi="黑体" w:eastAsia="黑体" w:cs="黑体"/>
          <w:b/>
          <w:bCs/>
          <w:kern w:val="0"/>
          <w:sz w:val="30"/>
          <w:szCs w:val="30"/>
        </w:rPr>
        <w:t xml:space="preserve"> 三、支出决算情况说明</w:t>
      </w:r>
    </w:p>
    <w:p w14:paraId="30C885B1">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w:t>
      </w:r>
      <w:r>
        <w:rPr>
          <w:rFonts w:ascii="fang_song_gb2312" w:hAnsi="fang_song_gb2312" w:eastAsia="fang_song_gb2312" w:cs="fang_song_gb2312"/>
          <w:kern w:val="0"/>
          <w:sz w:val="28"/>
          <w:szCs w:val="28"/>
        </w:rPr>
        <w:t>  内蒙古自治区呼和浩特市盲人按摩医院 2023年度本年支出决算合计</w:t>
      </w:r>
      <w:r>
        <w:rPr>
          <w:rFonts w:ascii="times_new_roman" w:hAnsi="times_new_roman" w:eastAsia="times_new_roman" w:cs="times_new_roman"/>
          <w:kern w:val="0"/>
          <w:sz w:val="28"/>
          <w:szCs w:val="28"/>
          <w:u w:val="single"/>
        </w:rPr>
        <w:t xml:space="preserve"> 533.34</w:t>
      </w:r>
      <w:r>
        <w:rPr>
          <w:rFonts w:ascii="fang_song_gb2312" w:hAnsi="fang_song_gb2312" w:eastAsia="fang_song_gb2312" w:cs="fang_song_gb2312"/>
          <w:kern w:val="0"/>
          <w:sz w:val="28"/>
          <w:szCs w:val="28"/>
        </w:rPr>
        <w:t>万元，其中：</w:t>
      </w:r>
    </w:p>
    <w:p w14:paraId="42D5FBFC">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本年基本支出</w:t>
      </w:r>
      <w:r>
        <w:rPr>
          <w:rFonts w:ascii="times_new_roman" w:hAnsi="times_new_roman" w:eastAsia="times_new_roman" w:cs="times_new_roman"/>
          <w:kern w:val="0"/>
          <w:sz w:val="28"/>
          <w:szCs w:val="28"/>
          <w:u w:val="single"/>
        </w:rPr>
        <w:t xml:space="preserve"> 446.89</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83.79</w:t>
      </w:r>
      <w:r>
        <w:rPr>
          <w:rFonts w:ascii="fang_song_gb2312" w:hAnsi="fang_song_gb2312" w:eastAsia="fang_song_gb2312" w:cs="fang_song_gb2312"/>
          <w:kern w:val="0"/>
          <w:sz w:val="28"/>
          <w:szCs w:val="28"/>
        </w:rPr>
        <w:t>%；</w:t>
      </w:r>
    </w:p>
    <w:p w14:paraId="39A825AD">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本年项目支出</w:t>
      </w:r>
      <w:r>
        <w:rPr>
          <w:rFonts w:ascii="times_new_roman" w:hAnsi="times_new_roman" w:eastAsia="times_new_roman" w:cs="times_new_roman"/>
          <w:kern w:val="0"/>
          <w:sz w:val="28"/>
          <w:szCs w:val="28"/>
          <w:u w:val="single"/>
        </w:rPr>
        <w:t xml:space="preserve"> 86.45</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16.21</w:t>
      </w:r>
      <w:r>
        <w:rPr>
          <w:rFonts w:ascii="fang_song_gb2312" w:hAnsi="fang_song_gb2312" w:eastAsia="fang_song_gb2312" w:cs="fang_song_gb2312"/>
          <w:kern w:val="0"/>
          <w:sz w:val="28"/>
          <w:szCs w:val="28"/>
        </w:rPr>
        <w:t>%；</w:t>
      </w:r>
    </w:p>
    <w:p w14:paraId="227C01DF">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本年上缴上级支出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67C0F5A9">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本年经营支出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4E92AD86">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本年对附属单位补助支出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w:t>
      </w:r>
    </w:p>
    <w:p w14:paraId="6B5D0507">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w:t>
      </w:r>
    </w:p>
    <w:p w14:paraId="408C76C2">
      <w:pPr>
        <w:widowControl/>
        <w:spacing w:before="240" w:after="240"/>
        <w:jc w:val="left"/>
        <w:rPr>
          <w:rFonts w:ascii="Times New Roman" w:hAnsi="Times New Roman" w:eastAsia="Times New Roman" w:cs="Times New Roman"/>
          <w:kern w:val="0"/>
          <w:sz w:val="28"/>
          <w:szCs w:val="28"/>
        </w:rPr>
      </w:pPr>
    </w:p>
    <w:p w14:paraId="2A70532E">
      <w:pPr>
        <w:widowControl/>
        <w:spacing w:before="240" w:after="240"/>
        <w:jc w:val="left"/>
        <w:rPr>
          <w:rFonts w:ascii="Times New Roman" w:hAnsi="Times New Roman" w:eastAsia="Times New Roman" w:cs="Times New Roman"/>
          <w:kern w:val="0"/>
          <w:sz w:val="28"/>
          <w:szCs w:val="28"/>
        </w:rPr>
      </w:pPr>
      <w:r>
        <w:rPr>
          <w:rFonts w:hint="eastAsia" w:ascii="Times New Roman" w:hAnsi="Times New Roman" w:eastAsia="宋体" w:cs="Times New Roman"/>
          <w:kern w:val="0"/>
          <w:sz w:val="28"/>
          <w:szCs w:val="28"/>
          <w:lang w:eastAsia="zh-CN"/>
        </w:rPr>
        <w:drawing>
          <wp:inline distT="0" distB="0" distL="114300" distR="114300">
            <wp:extent cx="5827395" cy="3274060"/>
            <wp:effectExtent l="4445" t="4445" r="16510" b="17145"/>
            <wp:docPr id="3" name="图表 3" descr="7b0a202020202263686172745265734964223a202232303139363436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49B9DBE">
      <w:pPr>
        <w:widowControl/>
        <w:spacing w:before="240" w:after="240"/>
        <w:jc w:val="center"/>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图2.支出决算图</w:t>
      </w:r>
    </w:p>
    <w:p w14:paraId="00BB60D2">
      <w:pPr>
        <w:widowControl/>
        <w:spacing w:before="240" w:after="240"/>
        <w:jc w:val="left"/>
        <w:rPr>
          <w:rFonts w:ascii="Times New Roman" w:hAnsi="Times New Roman" w:eastAsia="Times New Roman" w:cs="Times New Roman"/>
          <w:kern w:val="0"/>
          <w:sz w:val="28"/>
          <w:szCs w:val="28"/>
        </w:rPr>
      </w:pPr>
    </w:p>
    <w:p w14:paraId="51FAF9B3">
      <w:pPr>
        <w:widowControl/>
        <w:spacing w:before="240" w:after="240"/>
        <w:jc w:val="left"/>
        <w:rPr>
          <w:rFonts w:ascii="Times New Roman" w:hAnsi="Times New Roman" w:eastAsia="Times New Roman" w:cs="Times New Roman"/>
          <w:kern w:val="0"/>
          <w:sz w:val="28"/>
          <w:szCs w:val="28"/>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四、财政拨款收入支出决算总体情况说明</w:t>
      </w:r>
    </w:p>
    <w:p w14:paraId="5903A512">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年度财政拨款收入、支出决算总计</w:t>
      </w:r>
      <w:r>
        <w:rPr>
          <w:rFonts w:ascii="times_new_roman" w:hAnsi="times_new_roman" w:eastAsia="times_new_roman" w:cs="times_new_roman"/>
          <w:kern w:val="0"/>
          <w:sz w:val="28"/>
          <w:szCs w:val="28"/>
          <w:u w:val="single"/>
        </w:rPr>
        <w:t xml:space="preserve"> 464.23</w:t>
      </w:r>
      <w:r>
        <w:rPr>
          <w:rFonts w:ascii="fang_song_gb2312" w:hAnsi="fang_song_gb2312" w:eastAsia="fang_song_gb2312" w:cs="fang_song_gb2312"/>
          <w:kern w:val="0"/>
          <w:sz w:val="28"/>
          <w:szCs w:val="28"/>
        </w:rPr>
        <w:t>万元，与年初预算相比，收、支总计各增加</w:t>
      </w:r>
      <w:r>
        <w:rPr>
          <w:rFonts w:ascii="times_new_roman" w:hAnsi="times_new_roman" w:eastAsia="times_new_roman" w:cs="times_new_roman"/>
          <w:kern w:val="0"/>
          <w:sz w:val="28"/>
          <w:szCs w:val="28"/>
          <w:u w:val="single"/>
        </w:rPr>
        <w:t xml:space="preserve"> 61.54</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 xml:space="preserve"> 15.28</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2023年增加政府性基金项目资金和追加人员经费及一般公共预算财政拨款项目</w:t>
      </w:r>
      <w:r>
        <w:rPr>
          <w:rFonts w:ascii="fang_song_gb2312" w:hAnsi="fang_song_gb2312" w:eastAsia="fang_song_gb2312" w:cs="fang_song_gb2312"/>
          <w:kern w:val="0"/>
          <w:sz w:val="28"/>
          <w:szCs w:val="28"/>
        </w:rPr>
        <w:t>；与上年决算相比，收、支总计各增加</w:t>
      </w:r>
      <w:r>
        <w:rPr>
          <w:rFonts w:ascii="times_new_roman" w:hAnsi="times_new_roman" w:eastAsia="times_new_roman" w:cs="times_new_roman"/>
          <w:kern w:val="0"/>
          <w:sz w:val="28"/>
          <w:szCs w:val="28"/>
          <w:u w:val="single"/>
        </w:rPr>
        <w:t xml:space="preserve"> 30.07</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 xml:space="preserve"> 6.93</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2023年增加政府性基金项目资金和追加人员经费和一般公共预算财政拨款项目</w:t>
      </w:r>
      <w:r>
        <w:rPr>
          <w:rFonts w:ascii="fang_song_gb2312" w:hAnsi="fang_song_gb2312" w:eastAsia="fang_song_gb2312" w:cs="fang_song_gb2312"/>
          <w:kern w:val="0"/>
          <w:sz w:val="28"/>
          <w:szCs w:val="28"/>
        </w:rPr>
        <w:t>。</w:t>
      </w:r>
    </w:p>
    <w:p w14:paraId="3CF78FE1">
      <w:pPr>
        <w:widowControl/>
        <w:spacing w:before="240" w:after="240"/>
        <w:jc w:val="left"/>
        <w:rPr>
          <w:rFonts w:ascii="Calibri" w:hAnsi="Calibri" w:eastAsia="Calibri" w:cs="Calibri"/>
          <w:b/>
          <w:bCs/>
          <w:kern w:val="0"/>
          <w:sz w:val="30"/>
          <w:szCs w:val="30"/>
        </w:rPr>
      </w:pPr>
      <w:r>
        <w:rPr>
          <w:rFonts w:ascii="Calibri" w:hAnsi="Calibri" w:eastAsia="Calibri" w:cs="Calibri"/>
          <w:b/>
          <w:bCs/>
          <w:kern w:val="0"/>
          <w:sz w:val="30"/>
          <w:szCs w:val="30"/>
        </w:rPr>
        <w:t> </w:t>
      </w:r>
    </w:p>
    <w:p w14:paraId="0448E50E">
      <w:pPr>
        <w:widowControl/>
        <w:spacing w:before="240" w:after="240"/>
        <w:jc w:val="left"/>
        <w:rPr>
          <w:rFonts w:ascii="fang_song_gb2312" w:hAnsi="fang_song_gb2312" w:eastAsia="fang_song_gb2312" w:cs="fang_song_gb2312"/>
          <w:color w:val="0E00FE"/>
          <w:kern w:val="0"/>
          <w:sz w:val="28"/>
          <w:szCs w:val="28"/>
        </w:rPr>
      </w:pPr>
      <w:r>
        <w:rPr>
          <w:rFonts w:ascii="黑体" w:hAnsi="黑体" w:eastAsia="黑体" w:cs="黑体"/>
          <w:b/>
          <w:bCs/>
          <w:kern w:val="0"/>
          <w:sz w:val="30"/>
          <w:szCs w:val="30"/>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五、一般公共预算财政拨款支出决算情况说明</w:t>
      </w:r>
    </w:p>
    <w:p w14:paraId="732620A7">
      <w:pPr>
        <w:widowControl/>
        <w:spacing w:before="240" w:after="240"/>
        <w:ind w:firstLine="509"/>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年度一般公共预算财政拨款支出决算</w:t>
      </w:r>
      <w:r>
        <w:rPr>
          <w:rFonts w:ascii="times_new_roman" w:hAnsi="times_new_roman" w:eastAsia="times_new_roman" w:cs="times_new_roman"/>
          <w:kern w:val="0"/>
          <w:sz w:val="28"/>
          <w:szCs w:val="28"/>
          <w:u w:val="single"/>
        </w:rPr>
        <w:t xml:space="preserve"> 400.73</w:t>
      </w:r>
      <w:r>
        <w:rPr>
          <w:rFonts w:ascii="fang_song_gb2312" w:hAnsi="fang_song_gb2312" w:eastAsia="fang_song_gb2312" w:cs="fang_song_gb2312"/>
          <w:kern w:val="0"/>
          <w:sz w:val="28"/>
          <w:szCs w:val="28"/>
        </w:rPr>
        <w:t>万元。与年初预算</w:t>
      </w:r>
      <w:r>
        <w:rPr>
          <w:rFonts w:ascii="times_new_roman" w:hAnsi="times_new_roman" w:eastAsia="times_new_roman" w:cs="times_new_roman"/>
          <w:kern w:val="0"/>
          <w:sz w:val="28"/>
          <w:szCs w:val="28"/>
          <w:u w:val="single"/>
        </w:rPr>
        <w:t xml:space="preserve"> 387.</w:t>
      </w:r>
      <w:r>
        <w:rPr>
          <w:rFonts w:hint="eastAsia" w:ascii="times_new_roman" w:hAnsi="times_new_roman" w:cs="times_new_roman"/>
          <w:kern w:val="0"/>
          <w:sz w:val="28"/>
          <w:szCs w:val="28"/>
          <w:u w:val="single"/>
          <w:lang w:val="en-US" w:eastAsia="zh-CN"/>
        </w:rPr>
        <w:t>7</w:t>
      </w:r>
      <w:r>
        <w:rPr>
          <w:rFonts w:ascii="fang_song_gb2312" w:hAnsi="fang_song_gb2312" w:eastAsia="fang_song_gb2312" w:cs="fang_song_gb2312"/>
          <w:kern w:val="0"/>
          <w:sz w:val="28"/>
          <w:szCs w:val="28"/>
        </w:rPr>
        <w:t>万元相比，完成年初预算的</w:t>
      </w:r>
      <w:r>
        <w:rPr>
          <w:rFonts w:ascii="times_new_roman" w:hAnsi="times_new_roman" w:eastAsia="times_new_roman" w:cs="times_new_roman"/>
          <w:kern w:val="0"/>
          <w:sz w:val="28"/>
          <w:szCs w:val="28"/>
          <w:u w:val="single"/>
        </w:rPr>
        <w:t xml:space="preserve"> 103.36</w:t>
      </w:r>
      <w:r>
        <w:rPr>
          <w:rFonts w:ascii="fang_song_gb2312" w:hAnsi="fang_song_gb2312" w:eastAsia="fang_song_gb2312" w:cs="fang_song_gb2312"/>
          <w:kern w:val="0"/>
          <w:sz w:val="28"/>
          <w:szCs w:val="28"/>
        </w:rPr>
        <w:t>%。其中：</w:t>
      </w:r>
    </w:p>
    <w:p w14:paraId="62B7D552">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w:t>
      </w:r>
      <w:r>
        <w:rPr>
          <w:rFonts w:hint="eastAsia" w:ascii="kai_ti_gb2312" w:hAnsi="kai_ti_gb2312" w:cs="kai_ti_gb2312"/>
          <w:b/>
          <w:bCs/>
          <w:kern w:val="0"/>
          <w:sz w:val="28"/>
          <w:szCs w:val="28"/>
          <w:lang w:val="en-US" w:eastAsia="zh-CN"/>
        </w:rPr>
        <w:t>一</w:t>
      </w:r>
      <w:r>
        <w:rPr>
          <w:rFonts w:ascii="kai_ti_gb2312" w:hAnsi="kai_ti_gb2312" w:eastAsia="kai_ti_gb2312" w:cs="kai_ti_gb2312"/>
          <w:b/>
          <w:bCs/>
          <w:kern w:val="0"/>
          <w:sz w:val="28"/>
          <w:szCs w:val="28"/>
        </w:rPr>
        <w:t>）社会保障和就业支出（类）</w:t>
      </w:r>
    </w:p>
    <w:p w14:paraId="7748EA91">
      <w:pPr>
        <w:widowControl/>
        <w:spacing w:before="240" w:after="240"/>
        <w:jc w:val="left"/>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社会保障和就业支出类决算数为</w:t>
      </w:r>
      <w:r>
        <w:rPr>
          <w:rFonts w:ascii="times_new_roman" w:hAnsi="times_new_roman" w:eastAsia="times_new_roman" w:cs="times_new_roman"/>
          <w:kern w:val="0"/>
          <w:sz w:val="28"/>
          <w:szCs w:val="28"/>
          <w:u w:val="single"/>
        </w:rPr>
        <w:t xml:space="preserve"> 364.7</w:t>
      </w:r>
      <w:r>
        <w:rPr>
          <w:rFonts w:hint="eastAsia" w:ascii="times_new_roman" w:hAnsi="times_new_roman" w:cs="times_new_roman"/>
          <w:kern w:val="0"/>
          <w:sz w:val="28"/>
          <w:szCs w:val="28"/>
          <w:u w:val="single"/>
          <w:lang w:val="en-US" w:eastAsia="zh-CN"/>
        </w:rPr>
        <w:t>9</w:t>
      </w:r>
      <w:r>
        <w:rPr>
          <w:rFonts w:ascii="fang_song_gb2312" w:hAnsi="fang_song_gb2312" w:eastAsia="fang_song_gb2312" w:cs="fang_song_gb2312"/>
          <w:kern w:val="0"/>
          <w:sz w:val="28"/>
          <w:szCs w:val="28"/>
        </w:rPr>
        <w:t>万元，与年初预算相比增加</w:t>
      </w:r>
      <w:r>
        <w:rPr>
          <w:rFonts w:ascii="times_new_roman" w:hAnsi="times_new_roman" w:eastAsia="times_new_roman" w:cs="times_new_roman"/>
          <w:kern w:val="0"/>
          <w:sz w:val="28"/>
          <w:szCs w:val="28"/>
          <w:u w:val="single"/>
        </w:rPr>
        <w:t xml:space="preserve"> 17.72</w:t>
      </w:r>
      <w:r>
        <w:rPr>
          <w:rFonts w:ascii="fang_song_gb2312" w:hAnsi="fang_song_gb2312" w:eastAsia="fang_song_gb2312" w:cs="fang_song_gb2312"/>
          <w:kern w:val="0"/>
          <w:sz w:val="28"/>
          <w:szCs w:val="28"/>
        </w:rPr>
        <w:t>万元。其中：</w:t>
      </w:r>
    </w:p>
    <w:p w14:paraId="4AC83914">
      <w:pPr>
        <w:widowControl/>
        <w:spacing w:before="240" w:after="240"/>
        <w:jc w:val="left"/>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w:t>
      </w:r>
      <w:r>
        <w:rPr>
          <w:rFonts w:hint="eastAsia" w:ascii="fang_song_gb2312" w:hAnsi="fang_song_gb2312" w:cs="fang_song_gb2312"/>
          <w:kern w:val="0"/>
          <w:sz w:val="28"/>
          <w:szCs w:val="28"/>
          <w:lang w:val="en-US" w:eastAsia="zh-CN"/>
        </w:rPr>
        <w:t>1</w:t>
      </w:r>
      <w:r>
        <w:rPr>
          <w:rFonts w:ascii="times_new_roman" w:hAnsi="times_new_roman" w:eastAsia="times_new_roman" w:cs="times_new_roman"/>
          <w:kern w:val="0"/>
          <w:sz w:val="28"/>
          <w:szCs w:val="28"/>
        </w:rPr>
        <w:t>．</w:t>
      </w:r>
      <w:r>
        <w:rPr>
          <w:rFonts w:ascii="fang_song_gb2312" w:hAnsi="fang_song_gb2312" w:eastAsia="fang_song_gb2312" w:cs="fang_song_gb2312"/>
          <w:kern w:val="0"/>
          <w:sz w:val="28"/>
          <w:szCs w:val="28"/>
        </w:rPr>
        <w:t>行政事业单位养老支出（款）事业单位离退休（项）。年初预算</w:t>
      </w:r>
      <w:r>
        <w:rPr>
          <w:rFonts w:hint="eastAsia" w:ascii="times_new_roman" w:hAnsi="times_new_roman" w:cs="times_new_roman"/>
          <w:kern w:val="0"/>
          <w:sz w:val="28"/>
          <w:szCs w:val="28"/>
          <w:u w:val="single"/>
          <w:lang w:val="en-US" w:eastAsia="zh-CN"/>
        </w:rPr>
        <w:t>63.76</w:t>
      </w:r>
      <w:r>
        <w:rPr>
          <w:rFonts w:ascii="fang_song_gb2312" w:hAnsi="fang_song_gb2312" w:eastAsia="fang_song_gb2312" w:cs="fang_song_gb2312"/>
          <w:kern w:val="0"/>
          <w:sz w:val="28"/>
          <w:szCs w:val="28"/>
        </w:rPr>
        <w:t>万元，支出决算</w:t>
      </w:r>
      <w:r>
        <w:rPr>
          <w:rFonts w:hint="eastAsia" w:ascii="fang_song_gb2312" w:hAnsi="fang_song_gb2312" w:cs="fang_song_gb2312"/>
          <w:kern w:val="0"/>
          <w:sz w:val="28"/>
          <w:szCs w:val="28"/>
          <w:u w:val="single"/>
          <w:lang w:val="en-US" w:eastAsia="zh-CN"/>
        </w:rPr>
        <w:t>75.36</w:t>
      </w:r>
      <w:r>
        <w:rPr>
          <w:rFonts w:ascii="fang_song_gb2312" w:hAnsi="fang_song_gb2312" w:eastAsia="fang_song_gb2312" w:cs="fang_song_gb2312"/>
          <w:kern w:val="0"/>
          <w:sz w:val="28"/>
          <w:szCs w:val="28"/>
        </w:rPr>
        <w:t>万元，完成年初预算的</w:t>
      </w:r>
      <w:r>
        <w:rPr>
          <w:rFonts w:hint="eastAsia" w:ascii="times_new_roman" w:hAnsi="times_new_roman" w:cs="times_new_roman"/>
          <w:kern w:val="0"/>
          <w:sz w:val="28"/>
          <w:szCs w:val="28"/>
          <w:u w:val="single"/>
          <w:lang w:val="en-US" w:eastAsia="zh-CN"/>
        </w:rPr>
        <w:t>118</w:t>
      </w:r>
      <w:r>
        <w:rPr>
          <w:rFonts w:ascii="fang_song_gb2312" w:hAnsi="fang_song_gb2312" w:eastAsia="fang_song_gb2312" w:cs="fang_song_gb2312"/>
          <w:kern w:val="0"/>
          <w:sz w:val="28"/>
          <w:szCs w:val="28"/>
        </w:rPr>
        <w:t>%。决算数与年初预算数的差异原因：</w:t>
      </w:r>
      <w:r>
        <w:rPr>
          <w:rFonts w:hint="eastAsia" w:ascii="fang_song_gb2312" w:hAnsi="fang_song_gb2312" w:cs="fang_song_gb2312"/>
          <w:kern w:val="0"/>
          <w:sz w:val="28"/>
          <w:szCs w:val="28"/>
          <w:lang w:val="en-US" w:eastAsia="zh-CN"/>
        </w:rPr>
        <w:t>在职转退休退休人员增加</w:t>
      </w:r>
      <w:r>
        <w:rPr>
          <w:rFonts w:ascii="fang_song_gb2312" w:hAnsi="fang_song_gb2312" w:eastAsia="fang_song_gb2312" w:cs="fang_song_gb2312"/>
          <w:kern w:val="0"/>
          <w:sz w:val="28"/>
          <w:szCs w:val="28"/>
        </w:rPr>
        <w:t>。</w:t>
      </w:r>
    </w:p>
    <w:p w14:paraId="0AB7B6A2">
      <w:pPr>
        <w:widowControl/>
        <w:spacing w:before="240" w:after="240"/>
        <w:jc w:val="left"/>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w:t>
      </w:r>
      <w:r>
        <w:rPr>
          <w:rFonts w:hint="eastAsia" w:ascii="fang_song_gb2312" w:hAnsi="fang_song_gb2312" w:cs="fang_song_gb2312"/>
          <w:kern w:val="0"/>
          <w:sz w:val="28"/>
          <w:szCs w:val="28"/>
          <w:lang w:val="en-US" w:eastAsia="zh-CN"/>
        </w:rPr>
        <w:t>2</w:t>
      </w:r>
      <w:r>
        <w:rPr>
          <w:rFonts w:ascii="times_new_roman" w:hAnsi="times_new_roman" w:eastAsia="times_new_roman" w:cs="times_new_roman"/>
          <w:kern w:val="0"/>
          <w:sz w:val="28"/>
          <w:szCs w:val="28"/>
        </w:rPr>
        <w:t>．</w:t>
      </w:r>
      <w:r>
        <w:rPr>
          <w:rFonts w:ascii="fang_song_gb2312" w:hAnsi="fang_song_gb2312" w:eastAsia="fang_song_gb2312" w:cs="fang_song_gb2312"/>
          <w:kern w:val="0"/>
          <w:sz w:val="28"/>
          <w:szCs w:val="28"/>
        </w:rPr>
        <w:t>行政事业单位养老支出（款）机关事业单位基本养老保险缴费支出（项）。年初预算</w:t>
      </w:r>
      <w:r>
        <w:rPr>
          <w:rFonts w:hint="eastAsia" w:ascii="times_new_roman" w:hAnsi="times_new_roman" w:cs="times_new_roman"/>
          <w:kern w:val="0"/>
          <w:sz w:val="28"/>
          <w:szCs w:val="28"/>
          <w:u w:val="single"/>
          <w:lang w:val="en-US" w:eastAsia="zh-CN"/>
        </w:rPr>
        <w:t>29.03</w:t>
      </w:r>
      <w:r>
        <w:rPr>
          <w:rFonts w:ascii="fang_song_gb2312" w:hAnsi="fang_song_gb2312" w:eastAsia="fang_song_gb2312" w:cs="fang_song_gb2312"/>
          <w:kern w:val="0"/>
          <w:sz w:val="28"/>
          <w:szCs w:val="28"/>
        </w:rPr>
        <w:t>万元，支出决算</w:t>
      </w:r>
      <w:r>
        <w:rPr>
          <w:rFonts w:hint="eastAsia" w:ascii="times_new_roman" w:hAnsi="times_new_roman" w:cs="times_new_roman"/>
          <w:kern w:val="0"/>
          <w:sz w:val="28"/>
          <w:szCs w:val="28"/>
          <w:u w:val="single"/>
          <w:lang w:val="en-US" w:eastAsia="zh-CN"/>
        </w:rPr>
        <w:t>24.76</w:t>
      </w:r>
      <w:r>
        <w:rPr>
          <w:rFonts w:ascii="fang_song_gb2312" w:hAnsi="fang_song_gb2312" w:eastAsia="fang_song_gb2312" w:cs="fang_song_gb2312"/>
          <w:kern w:val="0"/>
          <w:sz w:val="28"/>
          <w:szCs w:val="28"/>
        </w:rPr>
        <w:t>万元，完成年初预算的</w:t>
      </w:r>
      <w:r>
        <w:rPr>
          <w:rFonts w:hint="eastAsia" w:ascii="times_new_roman" w:hAnsi="times_new_roman" w:cs="times_new_roman"/>
          <w:kern w:val="0"/>
          <w:sz w:val="28"/>
          <w:szCs w:val="28"/>
          <w:u w:val="single"/>
          <w:lang w:val="en-US" w:eastAsia="zh-CN"/>
        </w:rPr>
        <w:t>85</w:t>
      </w:r>
      <w:r>
        <w:rPr>
          <w:rFonts w:ascii="fang_song_gb2312" w:hAnsi="fang_song_gb2312" w:eastAsia="fang_song_gb2312" w:cs="fang_song_gb2312"/>
          <w:kern w:val="0"/>
          <w:sz w:val="28"/>
          <w:szCs w:val="28"/>
        </w:rPr>
        <w:t>%。决算数与年初预算数的差异原因：</w:t>
      </w:r>
      <w:r>
        <w:rPr>
          <w:rFonts w:hint="eastAsia" w:ascii="fang_song_gb2312" w:hAnsi="fang_song_gb2312" w:cs="fang_song_gb2312"/>
          <w:kern w:val="0"/>
          <w:sz w:val="28"/>
          <w:szCs w:val="28"/>
          <w:lang w:val="en-US" w:eastAsia="zh-CN"/>
        </w:rPr>
        <w:t>在职转退休养老保险减少</w:t>
      </w:r>
      <w:r>
        <w:rPr>
          <w:rFonts w:ascii="fang_song_gb2312" w:hAnsi="fang_song_gb2312" w:eastAsia="fang_song_gb2312" w:cs="fang_song_gb2312"/>
          <w:kern w:val="0"/>
          <w:sz w:val="28"/>
          <w:szCs w:val="28"/>
        </w:rPr>
        <w:t>。</w:t>
      </w:r>
    </w:p>
    <w:p w14:paraId="68163568">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w:t>
      </w:r>
      <w:r>
        <w:rPr>
          <w:rFonts w:hint="eastAsia" w:ascii="fang_song_gb2312" w:hAnsi="fang_song_gb2312" w:cs="fang_song_gb2312"/>
          <w:kern w:val="0"/>
          <w:sz w:val="28"/>
          <w:szCs w:val="28"/>
          <w:lang w:val="en-US" w:eastAsia="zh-CN"/>
        </w:rPr>
        <w:t>3</w:t>
      </w:r>
      <w:r>
        <w:rPr>
          <w:rFonts w:ascii="times_new_roman" w:hAnsi="times_new_roman" w:eastAsia="times_new_roman" w:cs="times_new_roman"/>
          <w:kern w:val="0"/>
          <w:sz w:val="28"/>
          <w:szCs w:val="28"/>
        </w:rPr>
        <w:t>．</w:t>
      </w:r>
      <w:r>
        <w:rPr>
          <w:rFonts w:ascii="fang_song_gb2312" w:hAnsi="fang_song_gb2312" w:eastAsia="fang_song_gb2312" w:cs="fang_song_gb2312"/>
          <w:kern w:val="0"/>
          <w:sz w:val="28"/>
          <w:szCs w:val="28"/>
        </w:rPr>
        <w:t>行政事业单位养老支出（款）机关事业单位职业年金缴费支出（项）。年初预算</w:t>
      </w:r>
      <w:r>
        <w:rPr>
          <w:rFonts w:hint="eastAsia" w:ascii="times_new_roman" w:hAnsi="times_new_roman" w:cs="times_new_roman"/>
          <w:kern w:val="0"/>
          <w:sz w:val="28"/>
          <w:szCs w:val="28"/>
          <w:u w:val="single"/>
          <w:lang w:val="en-US" w:eastAsia="zh-CN"/>
        </w:rPr>
        <w:t>14.52</w:t>
      </w:r>
      <w:r>
        <w:rPr>
          <w:rFonts w:ascii="fang_song_gb2312" w:hAnsi="fang_song_gb2312" w:eastAsia="fang_song_gb2312" w:cs="fang_song_gb2312"/>
          <w:kern w:val="0"/>
          <w:sz w:val="28"/>
          <w:szCs w:val="28"/>
        </w:rPr>
        <w:t>万元，支出决算</w:t>
      </w:r>
      <w:r>
        <w:rPr>
          <w:rFonts w:hint="eastAsia" w:ascii="fang_song_gb2312" w:hAnsi="fang_song_gb2312" w:cs="fang_song_gb2312"/>
          <w:kern w:val="0"/>
          <w:sz w:val="28"/>
          <w:szCs w:val="28"/>
          <w:u w:val="single"/>
          <w:lang w:val="en-US" w:eastAsia="zh-CN"/>
        </w:rPr>
        <w:t>12.38</w:t>
      </w:r>
      <w:r>
        <w:rPr>
          <w:rFonts w:ascii="fang_song_gb2312" w:hAnsi="fang_song_gb2312" w:eastAsia="fang_song_gb2312" w:cs="fang_song_gb2312"/>
          <w:kern w:val="0"/>
          <w:sz w:val="28"/>
          <w:szCs w:val="28"/>
        </w:rPr>
        <w:t>万元，完成年初预算的</w:t>
      </w:r>
      <w:r>
        <w:rPr>
          <w:rFonts w:hint="eastAsia" w:ascii="times_new_roman" w:hAnsi="times_new_roman" w:cs="times_new_roman"/>
          <w:kern w:val="0"/>
          <w:sz w:val="28"/>
          <w:szCs w:val="28"/>
          <w:u w:val="single"/>
          <w:lang w:val="en-US" w:eastAsia="zh-CN"/>
        </w:rPr>
        <w:t>85</w:t>
      </w:r>
      <w:r>
        <w:rPr>
          <w:rFonts w:ascii="fang_song_gb2312" w:hAnsi="fang_song_gb2312" w:eastAsia="fang_song_gb2312" w:cs="fang_song_gb2312"/>
          <w:kern w:val="0"/>
          <w:sz w:val="28"/>
          <w:szCs w:val="28"/>
        </w:rPr>
        <w:t>%。决算数与年初预算数的差异原因：</w:t>
      </w:r>
      <w:r>
        <w:rPr>
          <w:rFonts w:hint="eastAsia" w:ascii="fang_song_gb2312" w:hAnsi="fang_song_gb2312" w:cs="fang_song_gb2312"/>
          <w:kern w:val="0"/>
          <w:sz w:val="28"/>
          <w:szCs w:val="28"/>
          <w:lang w:val="en-US" w:eastAsia="zh-CN"/>
        </w:rPr>
        <w:t>在职转退休职业年金减少</w:t>
      </w:r>
      <w:r>
        <w:rPr>
          <w:rFonts w:ascii="fang_song_gb2312" w:hAnsi="fang_song_gb2312" w:eastAsia="fang_song_gb2312" w:cs="fang_song_gb2312"/>
          <w:kern w:val="0"/>
          <w:sz w:val="28"/>
          <w:szCs w:val="28"/>
        </w:rPr>
        <w:t>。</w:t>
      </w:r>
    </w:p>
    <w:p w14:paraId="5BDDA12B">
      <w:pPr>
        <w:widowControl/>
        <w:spacing w:before="240" w:after="240"/>
        <w:jc w:val="left"/>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w:t>
      </w:r>
      <w:r>
        <w:rPr>
          <w:rFonts w:hint="eastAsia" w:ascii="fang_song_gb2312" w:hAnsi="fang_song_gb2312" w:cs="fang_song_gb2312"/>
          <w:kern w:val="0"/>
          <w:sz w:val="28"/>
          <w:szCs w:val="28"/>
          <w:lang w:val="en-US" w:eastAsia="zh-CN"/>
        </w:rPr>
        <w:t>4.社会福利</w:t>
      </w:r>
      <w:r>
        <w:rPr>
          <w:rFonts w:ascii="fang_song_gb2312" w:hAnsi="fang_song_gb2312" w:eastAsia="fang_song_gb2312" w:cs="fang_song_gb2312"/>
          <w:kern w:val="0"/>
          <w:sz w:val="28"/>
          <w:szCs w:val="28"/>
        </w:rPr>
        <w:t>（款）</w:t>
      </w:r>
      <w:r>
        <w:rPr>
          <w:rFonts w:hint="eastAsia" w:ascii="fang_song_gb2312" w:hAnsi="fang_song_gb2312" w:cs="fang_song_gb2312"/>
          <w:kern w:val="0"/>
          <w:sz w:val="28"/>
          <w:szCs w:val="28"/>
          <w:lang w:val="en-US" w:eastAsia="zh-CN"/>
        </w:rPr>
        <w:t>社会福利事业单位</w:t>
      </w:r>
      <w:r>
        <w:rPr>
          <w:rFonts w:ascii="fang_song_gb2312" w:hAnsi="fang_song_gb2312" w:eastAsia="fang_song_gb2312" w:cs="fang_song_gb2312"/>
          <w:kern w:val="0"/>
          <w:sz w:val="28"/>
          <w:szCs w:val="28"/>
        </w:rPr>
        <w:t>（项）。年初预算</w:t>
      </w:r>
      <w:r>
        <w:rPr>
          <w:rFonts w:hint="eastAsia" w:ascii="times_new_roman" w:hAnsi="times_new_roman" w:cs="times_new_roman"/>
          <w:kern w:val="0"/>
          <w:sz w:val="28"/>
          <w:szCs w:val="28"/>
          <w:u w:val="single"/>
          <w:lang w:val="en-US" w:eastAsia="zh-CN"/>
        </w:rPr>
        <w:t>239.76</w:t>
      </w:r>
      <w:r>
        <w:rPr>
          <w:rFonts w:ascii="fang_song_gb2312" w:hAnsi="fang_song_gb2312" w:eastAsia="fang_song_gb2312" w:cs="fang_song_gb2312"/>
          <w:kern w:val="0"/>
          <w:sz w:val="28"/>
          <w:szCs w:val="28"/>
        </w:rPr>
        <w:t>万元，支出决算</w:t>
      </w:r>
      <w:r>
        <w:rPr>
          <w:rFonts w:hint="eastAsia" w:ascii="fang_song_gb2312" w:hAnsi="fang_song_gb2312" w:cs="fang_song_gb2312"/>
          <w:kern w:val="0"/>
          <w:sz w:val="28"/>
          <w:szCs w:val="28"/>
          <w:u w:val="single"/>
          <w:lang w:val="en-US" w:eastAsia="zh-CN"/>
        </w:rPr>
        <w:t>252.29</w:t>
      </w:r>
      <w:r>
        <w:rPr>
          <w:rFonts w:ascii="fang_song_gb2312" w:hAnsi="fang_song_gb2312" w:eastAsia="fang_song_gb2312" w:cs="fang_song_gb2312"/>
          <w:kern w:val="0"/>
          <w:sz w:val="28"/>
          <w:szCs w:val="28"/>
        </w:rPr>
        <w:t>万元，完成年初预算的</w:t>
      </w:r>
      <w:r>
        <w:rPr>
          <w:rFonts w:hint="eastAsia" w:ascii="times_new_roman" w:hAnsi="times_new_roman" w:cs="times_new_roman"/>
          <w:kern w:val="0"/>
          <w:sz w:val="28"/>
          <w:szCs w:val="28"/>
          <w:u w:val="single"/>
          <w:lang w:val="en-US" w:eastAsia="zh-CN"/>
        </w:rPr>
        <w:t>105</w:t>
      </w:r>
      <w:r>
        <w:rPr>
          <w:rFonts w:ascii="fang_song_gb2312" w:hAnsi="fang_song_gb2312" w:eastAsia="fang_song_gb2312" w:cs="fang_song_gb2312"/>
          <w:kern w:val="0"/>
          <w:sz w:val="28"/>
          <w:szCs w:val="28"/>
        </w:rPr>
        <w:t>%。决算数与年初预算数的差异原因：</w:t>
      </w:r>
      <w:r>
        <w:rPr>
          <w:rFonts w:hint="eastAsia" w:ascii="fang_song_gb2312" w:hAnsi="fang_song_gb2312" w:cs="fang_song_gb2312"/>
          <w:kern w:val="0"/>
          <w:sz w:val="28"/>
          <w:szCs w:val="28"/>
          <w:lang w:val="en-US" w:eastAsia="zh-CN"/>
        </w:rPr>
        <w:t>追加在职人员工资和增加购置办公设备项目</w:t>
      </w:r>
      <w:r>
        <w:rPr>
          <w:rFonts w:ascii="fang_song_gb2312" w:hAnsi="fang_song_gb2312" w:eastAsia="fang_song_gb2312" w:cs="fang_song_gb2312"/>
          <w:kern w:val="0"/>
          <w:sz w:val="28"/>
          <w:szCs w:val="28"/>
        </w:rPr>
        <w:t>。</w:t>
      </w:r>
    </w:p>
    <w:p w14:paraId="34EDF026">
      <w:pPr>
        <w:widowControl/>
        <w:spacing w:before="240" w:after="240"/>
        <w:jc w:val="left"/>
        <w:rPr>
          <w:rFonts w:hint="default" w:ascii="Times New Roman" w:hAnsi="Times New Roman" w:eastAsia="宋体" w:cs="Times New Roman"/>
          <w:kern w:val="0"/>
          <w:sz w:val="28"/>
          <w:szCs w:val="28"/>
          <w:lang w:val="en-US" w:eastAsia="zh-CN"/>
        </w:rPr>
      </w:pPr>
    </w:p>
    <w:p w14:paraId="48AA9D4D">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w:t>
      </w:r>
      <w:r>
        <w:rPr>
          <w:rFonts w:hint="eastAsia" w:ascii="kai_ti_gb2312" w:hAnsi="kai_ti_gb2312" w:cs="kai_ti_gb2312"/>
          <w:b/>
          <w:bCs/>
          <w:kern w:val="0"/>
          <w:sz w:val="28"/>
          <w:szCs w:val="28"/>
          <w:lang w:val="en-US" w:eastAsia="zh-CN"/>
        </w:rPr>
        <w:t>二</w:t>
      </w:r>
      <w:r>
        <w:rPr>
          <w:rFonts w:ascii="kai_ti_gb2312" w:hAnsi="kai_ti_gb2312" w:eastAsia="kai_ti_gb2312" w:cs="kai_ti_gb2312"/>
          <w:b/>
          <w:bCs/>
          <w:kern w:val="0"/>
          <w:sz w:val="28"/>
          <w:szCs w:val="28"/>
        </w:rPr>
        <w:t>）卫生健康支出（类）</w:t>
      </w:r>
    </w:p>
    <w:p w14:paraId="11A2A69A">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卫生健康支出类决算数为</w:t>
      </w:r>
      <w:r>
        <w:rPr>
          <w:rFonts w:ascii="times_new_roman" w:hAnsi="times_new_roman" w:eastAsia="times_new_roman" w:cs="times_new_roman"/>
          <w:kern w:val="0"/>
          <w:sz w:val="28"/>
          <w:szCs w:val="28"/>
          <w:u w:val="single"/>
        </w:rPr>
        <w:t xml:space="preserve"> 10.30</w:t>
      </w:r>
      <w:r>
        <w:rPr>
          <w:rFonts w:ascii="fang_song_gb2312" w:hAnsi="fang_song_gb2312" w:eastAsia="fang_song_gb2312" w:cs="fang_song_gb2312"/>
          <w:kern w:val="0"/>
          <w:sz w:val="28"/>
          <w:szCs w:val="28"/>
        </w:rPr>
        <w:t>万元，与年初预算相比减少</w:t>
      </w:r>
      <w:r>
        <w:rPr>
          <w:rFonts w:ascii="times_new_roman" w:hAnsi="times_new_roman" w:eastAsia="times_new_roman" w:cs="times_new_roman"/>
          <w:kern w:val="0"/>
          <w:sz w:val="28"/>
          <w:szCs w:val="28"/>
          <w:u w:val="single"/>
        </w:rPr>
        <w:t xml:space="preserve"> -2.48</w:t>
      </w:r>
      <w:r>
        <w:rPr>
          <w:rFonts w:ascii="fang_song_gb2312" w:hAnsi="fang_song_gb2312" w:eastAsia="fang_song_gb2312" w:cs="fang_song_gb2312"/>
          <w:kern w:val="0"/>
          <w:sz w:val="28"/>
          <w:szCs w:val="28"/>
        </w:rPr>
        <w:t>万元。其中：</w:t>
      </w:r>
    </w:p>
    <w:p w14:paraId="1D2CF6F8">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w:t>
      </w:r>
      <w:r>
        <w:rPr>
          <w:rFonts w:hint="eastAsia" w:ascii="fang_song_gb2312" w:hAnsi="fang_song_gb2312" w:cs="fang_song_gb2312"/>
          <w:kern w:val="0"/>
          <w:sz w:val="28"/>
          <w:szCs w:val="28"/>
          <w:lang w:val="en-US" w:eastAsia="zh-CN"/>
        </w:rPr>
        <w:t>1</w:t>
      </w:r>
      <w:r>
        <w:rPr>
          <w:rFonts w:ascii="times_new_roman" w:hAnsi="times_new_roman" w:eastAsia="times_new_roman" w:cs="times_new_roman"/>
          <w:kern w:val="0"/>
          <w:sz w:val="28"/>
          <w:szCs w:val="28"/>
        </w:rPr>
        <w:t>．</w:t>
      </w:r>
      <w:r>
        <w:rPr>
          <w:rFonts w:ascii="fang_song_gb2312" w:hAnsi="fang_song_gb2312" w:eastAsia="fang_song_gb2312" w:cs="fang_song_gb2312"/>
          <w:kern w:val="0"/>
          <w:sz w:val="28"/>
          <w:szCs w:val="28"/>
        </w:rPr>
        <w:t>行政事业单位医疗（款）事业单位医疗（项）。年初预算</w:t>
      </w:r>
      <w:r>
        <w:rPr>
          <w:rFonts w:hint="eastAsia" w:ascii="times_new_roman" w:hAnsi="times_new_roman" w:cs="times_new_roman"/>
          <w:kern w:val="0"/>
          <w:sz w:val="28"/>
          <w:szCs w:val="28"/>
          <w:u w:val="single"/>
          <w:lang w:val="en-US" w:eastAsia="zh-CN"/>
        </w:rPr>
        <w:t>12.78</w:t>
      </w:r>
      <w:r>
        <w:rPr>
          <w:rFonts w:ascii="fang_song_gb2312" w:hAnsi="fang_song_gb2312" w:eastAsia="fang_song_gb2312" w:cs="fang_song_gb2312"/>
          <w:kern w:val="0"/>
          <w:sz w:val="28"/>
          <w:szCs w:val="28"/>
        </w:rPr>
        <w:t>万元，支出决算</w:t>
      </w:r>
      <w:r>
        <w:rPr>
          <w:rFonts w:hint="eastAsia" w:ascii="times_new_roman" w:hAnsi="times_new_roman" w:cs="times_new_roman"/>
          <w:kern w:val="0"/>
          <w:sz w:val="28"/>
          <w:szCs w:val="28"/>
          <w:u w:val="single"/>
          <w:lang w:val="en-US" w:eastAsia="zh-CN"/>
        </w:rPr>
        <w:t>10.3</w:t>
      </w:r>
      <w:r>
        <w:rPr>
          <w:rFonts w:ascii="fang_song_gb2312" w:hAnsi="fang_song_gb2312" w:eastAsia="fang_song_gb2312" w:cs="fang_song_gb2312"/>
          <w:kern w:val="0"/>
          <w:sz w:val="28"/>
          <w:szCs w:val="28"/>
        </w:rPr>
        <w:t>万元，完成年初预算的</w:t>
      </w:r>
      <w:r>
        <w:rPr>
          <w:rFonts w:hint="eastAsia" w:ascii="times_new_roman" w:hAnsi="times_new_roman" w:cs="times_new_roman"/>
          <w:kern w:val="0"/>
          <w:sz w:val="28"/>
          <w:szCs w:val="28"/>
          <w:u w:val="single"/>
          <w:lang w:val="en-US" w:eastAsia="zh-CN"/>
        </w:rPr>
        <w:t>81</w:t>
      </w:r>
      <w:r>
        <w:rPr>
          <w:rFonts w:ascii="fang_song_gb2312" w:hAnsi="fang_song_gb2312" w:eastAsia="fang_song_gb2312" w:cs="fang_song_gb2312"/>
          <w:kern w:val="0"/>
          <w:sz w:val="28"/>
          <w:szCs w:val="28"/>
        </w:rPr>
        <w:t>%。决算数与年初预算数的差异原因：</w:t>
      </w:r>
      <w:r>
        <w:rPr>
          <w:rFonts w:hint="eastAsia" w:ascii="fang_song_gb2312" w:hAnsi="fang_song_gb2312" w:cs="fang_song_gb2312"/>
          <w:kern w:val="0"/>
          <w:sz w:val="28"/>
          <w:szCs w:val="28"/>
          <w:lang w:val="en-US" w:eastAsia="zh-CN"/>
        </w:rPr>
        <w:t>在职转退休医疗保险减少</w:t>
      </w:r>
      <w:r>
        <w:rPr>
          <w:rFonts w:ascii="fang_song_gb2312" w:hAnsi="fang_song_gb2312" w:eastAsia="fang_song_gb2312" w:cs="fang_song_gb2312"/>
          <w:kern w:val="0"/>
          <w:sz w:val="28"/>
          <w:szCs w:val="28"/>
        </w:rPr>
        <w:t>。</w:t>
      </w:r>
    </w:p>
    <w:p w14:paraId="1D8C81F2">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w:t>
      </w:r>
      <w:r>
        <w:rPr>
          <w:rFonts w:hint="eastAsia" w:ascii="kai_ti_gb2312" w:hAnsi="kai_ti_gb2312" w:cs="kai_ti_gb2312"/>
          <w:b/>
          <w:bCs/>
          <w:kern w:val="0"/>
          <w:sz w:val="28"/>
          <w:szCs w:val="28"/>
          <w:lang w:val="en-US" w:eastAsia="zh-CN"/>
        </w:rPr>
        <w:t>三</w:t>
      </w:r>
      <w:r>
        <w:rPr>
          <w:rFonts w:ascii="kai_ti_gb2312" w:hAnsi="kai_ti_gb2312" w:eastAsia="kai_ti_gb2312" w:cs="kai_ti_gb2312"/>
          <w:b/>
          <w:bCs/>
          <w:kern w:val="0"/>
          <w:sz w:val="28"/>
          <w:szCs w:val="28"/>
        </w:rPr>
        <w:t>）住房保障支出（类）</w:t>
      </w:r>
    </w:p>
    <w:p w14:paraId="37E61EF9">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住房保障支出类决算数为</w:t>
      </w:r>
      <w:r>
        <w:rPr>
          <w:rFonts w:ascii="times_new_roman" w:hAnsi="times_new_roman" w:eastAsia="times_new_roman" w:cs="times_new_roman"/>
          <w:kern w:val="0"/>
          <w:sz w:val="28"/>
          <w:szCs w:val="28"/>
          <w:u w:val="single"/>
        </w:rPr>
        <w:t xml:space="preserve"> 25.64</w:t>
      </w:r>
      <w:r>
        <w:rPr>
          <w:rFonts w:ascii="fang_song_gb2312" w:hAnsi="fang_song_gb2312" w:eastAsia="fang_song_gb2312" w:cs="fang_song_gb2312"/>
          <w:kern w:val="0"/>
          <w:sz w:val="28"/>
          <w:szCs w:val="28"/>
        </w:rPr>
        <w:t>万元，与年初预算相比减少</w:t>
      </w:r>
      <w:r>
        <w:rPr>
          <w:rFonts w:ascii="times_new_roman" w:hAnsi="times_new_roman" w:eastAsia="times_new_roman" w:cs="times_new_roman"/>
          <w:kern w:val="0"/>
          <w:sz w:val="28"/>
          <w:szCs w:val="28"/>
          <w:u w:val="single"/>
        </w:rPr>
        <w:t xml:space="preserve"> -2.20</w:t>
      </w:r>
      <w:r>
        <w:rPr>
          <w:rFonts w:ascii="fang_song_gb2312" w:hAnsi="fang_song_gb2312" w:eastAsia="fang_song_gb2312" w:cs="fang_song_gb2312"/>
          <w:kern w:val="0"/>
          <w:sz w:val="28"/>
          <w:szCs w:val="28"/>
        </w:rPr>
        <w:t>万元。其中：</w:t>
      </w:r>
    </w:p>
    <w:p w14:paraId="1B7CF097">
      <w:pPr>
        <w:widowControl/>
        <w:numPr>
          <w:ilvl w:val="0"/>
          <w:numId w:val="1"/>
        </w:numPr>
        <w:spacing w:before="240" w:after="240"/>
        <w:ind w:left="499" w:leftChars="0" w:firstLine="0" w:firstLineChars="0"/>
        <w:rPr>
          <w:rFonts w:ascii="fang_song_gb2312" w:hAnsi="fang_song_gb2312" w:eastAsia="fang_song_gb2312" w:cs="fang_song_gb2312"/>
          <w:kern w:val="0"/>
          <w:sz w:val="28"/>
          <w:szCs w:val="28"/>
        </w:rPr>
      </w:pPr>
      <w:r>
        <w:rPr>
          <w:rFonts w:ascii="fang_song_gb2312" w:hAnsi="fang_song_gb2312" w:eastAsia="fang_song_gb2312" w:cs="fang_song_gb2312"/>
          <w:kern w:val="0"/>
          <w:sz w:val="28"/>
          <w:szCs w:val="28"/>
        </w:rPr>
        <w:t>住房改革支出（款）住房公积金（项）。年初预算</w:t>
      </w:r>
      <w:r>
        <w:rPr>
          <w:rFonts w:hint="eastAsia" w:ascii="times_new_roman" w:hAnsi="times_new_roman" w:cs="times_new_roman"/>
          <w:kern w:val="0"/>
          <w:sz w:val="28"/>
          <w:szCs w:val="28"/>
          <w:u w:val="single"/>
          <w:lang w:val="en-US" w:eastAsia="zh-CN"/>
        </w:rPr>
        <w:t>22.26</w:t>
      </w:r>
      <w:r>
        <w:rPr>
          <w:rFonts w:ascii="fang_song_gb2312" w:hAnsi="fang_song_gb2312" w:eastAsia="fang_song_gb2312" w:cs="fang_song_gb2312"/>
          <w:kern w:val="0"/>
          <w:sz w:val="28"/>
          <w:szCs w:val="28"/>
        </w:rPr>
        <w:t>万元，支出决算</w:t>
      </w:r>
      <w:r>
        <w:rPr>
          <w:rFonts w:hint="eastAsia" w:ascii="times_new_roman" w:hAnsi="times_new_roman" w:cs="times_new_roman"/>
          <w:kern w:val="0"/>
          <w:sz w:val="28"/>
          <w:szCs w:val="28"/>
          <w:u w:val="single"/>
          <w:lang w:val="en-US" w:eastAsia="zh-CN"/>
        </w:rPr>
        <w:t>20.05</w:t>
      </w:r>
      <w:r>
        <w:rPr>
          <w:rFonts w:ascii="fang_song_gb2312" w:hAnsi="fang_song_gb2312" w:eastAsia="fang_song_gb2312" w:cs="fang_song_gb2312"/>
          <w:kern w:val="0"/>
          <w:sz w:val="28"/>
          <w:szCs w:val="28"/>
        </w:rPr>
        <w:t>万元，完成年初预算的</w:t>
      </w:r>
      <w:r>
        <w:rPr>
          <w:rFonts w:hint="eastAsia" w:ascii="fang_song_gb2312" w:hAnsi="fang_song_gb2312" w:cs="fang_song_gb2312"/>
          <w:kern w:val="0"/>
          <w:sz w:val="28"/>
          <w:szCs w:val="28"/>
          <w:u w:val="single"/>
          <w:lang w:val="en-US" w:eastAsia="zh-CN"/>
        </w:rPr>
        <w:t>90</w:t>
      </w:r>
      <w:r>
        <w:rPr>
          <w:rFonts w:ascii="fang_song_gb2312" w:hAnsi="fang_song_gb2312" w:eastAsia="fang_song_gb2312" w:cs="fang_song_gb2312"/>
          <w:kern w:val="0"/>
          <w:sz w:val="28"/>
          <w:szCs w:val="28"/>
          <w:u w:val="single"/>
        </w:rPr>
        <w:t>%</w:t>
      </w:r>
      <w:r>
        <w:rPr>
          <w:rFonts w:ascii="fang_song_gb2312" w:hAnsi="fang_song_gb2312" w:eastAsia="fang_song_gb2312" w:cs="fang_song_gb2312"/>
          <w:kern w:val="0"/>
          <w:sz w:val="28"/>
          <w:szCs w:val="28"/>
        </w:rPr>
        <w:t>。决算数与年初预算数的差异原因：</w:t>
      </w:r>
      <w:r>
        <w:rPr>
          <w:rFonts w:hint="eastAsia" w:ascii="fang_song_gb2312" w:hAnsi="fang_song_gb2312" w:cs="fang_song_gb2312"/>
          <w:kern w:val="0"/>
          <w:sz w:val="28"/>
          <w:szCs w:val="28"/>
          <w:lang w:val="en-US" w:eastAsia="zh-CN"/>
        </w:rPr>
        <w:t>在职转退休住房公积金减少</w:t>
      </w:r>
      <w:r>
        <w:rPr>
          <w:rFonts w:ascii="fang_song_gb2312" w:hAnsi="fang_song_gb2312" w:eastAsia="fang_song_gb2312" w:cs="fang_song_gb2312"/>
          <w:kern w:val="0"/>
          <w:sz w:val="28"/>
          <w:szCs w:val="28"/>
        </w:rPr>
        <w:t>。</w:t>
      </w:r>
    </w:p>
    <w:p w14:paraId="5F6EB9AF">
      <w:pPr>
        <w:widowControl/>
        <w:numPr>
          <w:ilvl w:val="0"/>
          <w:numId w:val="1"/>
        </w:numPr>
        <w:spacing w:before="240" w:after="240"/>
        <w:ind w:left="499" w:leftChars="0" w:firstLine="0" w:firstLineChars="0"/>
        <w:rPr>
          <w:rFonts w:ascii="fang_song_gb2312" w:hAnsi="fang_song_gb2312" w:eastAsia="fang_song_gb2312" w:cs="fang_song_gb2312"/>
          <w:kern w:val="0"/>
          <w:sz w:val="28"/>
          <w:szCs w:val="28"/>
        </w:rPr>
      </w:pPr>
      <w:r>
        <w:rPr>
          <w:rFonts w:ascii="fang_song_gb2312" w:hAnsi="fang_song_gb2312" w:eastAsia="fang_song_gb2312" w:cs="fang_song_gb2312"/>
          <w:kern w:val="0"/>
          <w:sz w:val="28"/>
          <w:szCs w:val="28"/>
        </w:rPr>
        <w:t>住房改革支出（款）</w:t>
      </w:r>
      <w:r>
        <w:rPr>
          <w:rFonts w:hint="eastAsia" w:ascii="fang_song_gb2312" w:hAnsi="fang_song_gb2312" w:cs="fang_song_gb2312"/>
          <w:kern w:val="0"/>
          <w:sz w:val="28"/>
          <w:szCs w:val="28"/>
          <w:lang w:val="en-US" w:eastAsia="zh-CN"/>
        </w:rPr>
        <w:t>购房补贴</w:t>
      </w:r>
      <w:r>
        <w:rPr>
          <w:rFonts w:ascii="fang_song_gb2312" w:hAnsi="fang_song_gb2312" w:eastAsia="fang_song_gb2312" w:cs="fang_song_gb2312"/>
          <w:kern w:val="0"/>
          <w:sz w:val="28"/>
          <w:szCs w:val="28"/>
        </w:rPr>
        <w:t>（项）。年初预算</w:t>
      </w:r>
      <w:r>
        <w:rPr>
          <w:rFonts w:hint="eastAsia" w:ascii="times_new_roman" w:hAnsi="times_new_roman" w:cs="times_new_roman"/>
          <w:kern w:val="0"/>
          <w:sz w:val="28"/>
          <w:szCs w:val="28"/>
          <w:u w:val="single"/>
          <w:lang w:val="en-US" w:eastAsia="zh-CN"/>
        </w:rPr>
        <w:t>5.59</w:t>
      </w:r>
      <w:r>
        <w:rPr>
          <w:rFonts w:ascii="fang_song_gb2312" w:hAnsi="fang_song_gb2312" w:eastAsia="fang_song_gb2312" w:cs="fang_song_gb2312"/>
          <w:kern w:val="0"/>
          <w:sz w:val="28"/>
          <w:szCs w:val="28"/>
        </w:rPr>
        <w:t>万元，支出决算</w:t>
      </w:r>
      <w:r>
        <w:rPr>
          <w:rFonts w:hint="eastAsia" w:ascii="times_new_roman" w:hAnsi="times_new_roman" w:cs="times_new_roman"/>
          <w:kern w:val="0"/>
          <w:sz w:val="28"/>
          <w:szCs w:val="28"/>
          <w:u w:val="single"/>
          <w:lang w:val="en-US" w:eastAsia="zh-CN"/>
        </w:rPr>
        <w:t>5.59</w:t>
      </w:r>
      <w:r>
        <w:rPr>
          <w:rFonts w:ascii="fang_song_gb2312" w:hAnsi="fang_song_gb2312" w:eastAsia="fang_song_gb2312" w:cs="fang_song_gb2312"/>
          <w:kern w:val="0"/>
          <w:sz w:val="28"/>
          <w:szCs w:val="28"/>
        </w:rPr>
        <w:t>万元，完成年初预算的</w:t>
      </w:r>
      <w:r>
        <w:rPr>
          <w:rFonts w:hint="eastAsia" w:ascii="times_new_roman" w:hAnsi="times_new_roman" w:cs="times_new_roman"/>
          <w:kern w:val="0"/>
          <w:sz w:val="28"/>
          <w:szCs w:val="28"/>
          <w:u w:val="single"/>
          <w:lang w:val="en-US" w:eastAsia="zh-CN"/>
        </w:rPr>
        <w:t>100</w:t>
      </w:r>
      <w:r>
        <w:rPr>
          <w:rFonts w:ascii="fang_song_gb2312" w:hAnsi="fang_song_gb2312" w:eastAsia="fang_song_gb2312" w:cs="fang_song_gb2312"/>
          <w:kern w:val="0"/>
          <w:sz w:val="28"/>
          <w:szCs w:val="28"/>
        </w:rPr>
        <w:t>%。决算数与年初预算数的</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差异</w:t>
      </w:r>
      <w:r>
        <w:rPr>
          <w:rFonts w:hint="eastAsia" w:ascii="fang_song_gb2312" w:hAnsi="fang_song_gb2312" w:cs="fang_song_gb2312"/>
          <w:kern w:val="0"/>
          <w:sz w:val="28"/>
          <w:szCs w:val="28"/>
          <w:lang w:eastAsia="zh-CN"/>
        </w:rPr>
        <w:t>。</w:t>
      </w:r>
    </w:p>
    <w:p w14:paraId="62E0E22E">
      <w:pPr>
        <w:widowControl/>
        <w:numPr>
          <w:ilvl w:val="0"/>
          <w:numId w:val="0"/>
        </w:numPr>
        <w:spacing w:before="240" w:after="240"/>
        <w:jc w:val="both"/>
        <w:rPr>
          <w:rFonts w:ascii="fang_song_gb2312" w:hAnsi="fang_song_gb2312" w:eastAsia="fang_song_gb2312" w:cs="fang_song_gb2312"/>
          <w:kern w:val="0"/>
          <w:sz w:val="28"/>
          <w:szCs w:val="28"/>
        </w:rPr>
      </w:pPr>
    </w:p>
    <w:p w14:paraId="6C7AF1AE">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黑体" w:hAnsi="黑体" w:eastAsia="黑体" w:cs="黑体"/>
          <w:b/>
          <w:bCs/>
          <w:kern w:val="0"/>
          <w:sz w:val="30"/>
          <w:szCs w:val="30"/>
        </w:rPr>
        <w:t>六、一般公共预算财政拨款基本支出决算情况说明</w:t>
      </w:r>
    </w:p>
    <w:p w14:paraId="281C54A5">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xml:space="preserve">    </w:t>
      </w:r>
      <w:r>
        <w:rPr>
          <w:rFonts w:ascii="fang_song_gb2312" w:hAnsi="fang_song_gb2312" w:eastAsia="fang_song_gb2312" w:cs="fang_song_gb2312"/>
          <w:kern w:val="0"/>
          <w:sz w:val="28"/>
          <w:szCs w:val="28"/>
        </w:rPr>
        <w:t>内蒙古自治区呼和浩特市盲人按摩医院 2023年度一般公共预算财政拨款基本支出决算</w:t>
      </w:r>
      <w:r>
        <w:rPr>
          <w:rFonts w:ascii="times_new_roman" w:hAnsi="times_new_roman" w:eastAsia="times_new_roman" w:cs="times_new_roman"/>
          <w:kern w:val="0"/>
          <w:sz w:val="28"/>
          <w:szCs w:val="28"/>
          <w:u w:val="single"/>
        </w:rPr>
        <w:t xml:space="preserve"> 377.77</w:t>
      </w:r>
      <w:r>
        <w:rPr>
          <w:rFonts w:ascii="fang_song_gb2312" w:hAnsi="fang_song_gb2312" w:eastAsia="fang_song_gb2312" w:cs="fang_song_gb2312"/>
          <w:kern w:val="0"/>
          <w:sz w:val="28"/>
          <w:szCs w:val="28"/>
        </w:rPr>
        <w:t>万元，其中：</w:t>
      </w:r>
    </w:p>
    <w:p w14:paraId="5EF09B5E">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b/>
          <w:bCs/>
          <w:kern w:val="0"/>
          <w:sz w:val="28"/>
          <w:szCs w:val="28"/>
        </w:rPr>
        <w:t>    （一）人员经费</w:t>
      </w:r>
      <w:r>
        <w:rPr>
          <w:rFonts w:ascii="times_new_roman" w:hAnsi="times_new_roman" w:eastAsia="times_new_roman" w:cs="times_new_roman"/>
          <w:kern w:val="0"/>
          <w:sz w:val="28"/>
          <w:szCs w:val="28"/>
          <w:u w:val="single"/>
        </w:rPr>
        <w:t xml:space="preserve"> 377.77</w:t>
      </w:r>
      <w:r>
        <w:rPr>
          <w:rFonts w:ascii="fang_song_gb2312" w:hAnsi="fang_song_gb2312" w:eastAsia="fang_song_gb2312" w:cs="fang_song_gb2312"/>
          <w:b/>
          <w:bCs/>
          <w:kern w:val="0"/>
          <w:sz w:val="28"/>
          <w:szCs w:val="28"/>
        </w:rPr>
        <w:t>万元</w:t>
      </w:r>
      <w:r>
        <w:rPr>
          <w:rFonts w:ascii="fang_song_gb2312" w:hAnsi="fang_song_gb2312" w:eastAsia="fang_song_gb2312" w:cs="fang_song_gb2312"/>
          <w:kern w:val="0"/>
          <w:sz w:val="28"/>
          <w:szCs w:val="28"/>
        </w:rPr>
        <w:t>。主要包括：基本工资</w:t>
      </w:r>
      <w:r>
        <w:rPr>
          <w:rFonts w:hint="eastAsia" w:ascii="fang_song_gb2312" w:hAnsi="fang_song_gb2312" w:cs="fang_song_gb2312"/>
          <w:kern w:val="0"/>
          <w:sz w:val="28"/>
          <w:szCs w:val="28"/>
          <w:lang w:val="en-US" w:eastAsia="zh-CN"/>
        </w:rPr>
        <w:t>71.96万元</w:t>
      </w:r>
      <w:r>
        <w:rPr>
          <w:rFonts w:ascii="fang_song_gb2312" w:hAnsi="fang_song_gb2312" w:eastAsia="fang_song_gb2312" w:cs="fang_song_gb2312"/>
          <w:kern w:val="0"/>
          <w:sz w:val="28"/>
          <w:szCs w:val="28"/>
        </w:rPr>
        <w:t>、津贴补贴</w:t>
      </w:r>
      <w:r>
        <w:rPr>
          <w:rFonts w:hint="eastAsia" w:ascii="fang_song_gb2312" w:hAnsi="fang_song_gb2312" w:cs="fang_song_gb2312"/>
          <w:kern w:val="0"/>
          <w:sz w:val="28"/>
          <w:szCs w:val="28"/>
          <w:lang w:val="en-US" w:eastAsia="zh-CN"/>
        </w:rPr>
        <w:t>119.42万元</w:t>
      </w:r>
      <w:r>
        <w:rPr>
          <w:rFonts w:ascii="fang_song_gb2312" w:hAnsi="fang_song_gb2312" w:eastAsia="fang_song_gb2312" w:cs="fang_song_gb2312"/>
          <w:kern w:val="0"/>
          <w:sz w:val="28"/>
          <w:szCs w:val="28"/>
        </w:rPr>
        <w:t>、社会保障缴费</w:t>
      </w:r>
      <w:r>
        <w:rPr>
          <w:rFonts w:hint="eastAsia" w:ascii="fang_song_gb2312" w:hAnsi="fang_song_gb2312" w:cs="fang_song_gb2312"/>
          <w:kern w:val="0"/>
          <w:sz w:val="28"/>
          <w:szCs w:val="28"/>
          <w:lang w:val="en-US" w:eastAsia="zh-CN"/>
        </w:rPr>
        <w:t>48.26万元</w:t>
      </w:r>
      <w:r>
        <w:rPr>
          <w:rFonts w:ascii="fang_song_gb2312" w:hAnsi="fang_song_gb2312" w:eastAsia="fang_song_gb2312" w:cs="fang_song_gb2312"/>
          <w:kern w:val="0"/>
          <w:sz w:val="28"/>
          <w:szCs w:val="28"/>
        </w:rPr>
        <w:t>、绩效工资</w:t>
      </w:r>
      <w:r>
        <w:rPr>
          <w:rFonts w:hint="eastAsia" w:ascii="fang_song_gb2312" w:hAnsi="fang_song_gb2312" w:cs="fang_song_gb2312"/>
          <w:kern w:val="0"/>
          <w:sz w:val="28"/>
          <w:szCs w:val="28"/>
          <w:lang w:val="en-US" w:eastAsia="zh-CN"/>
        </w:rPr>
        <w:t>42.52万元</w:t>
      </w:r>
      <w:r>
        <w:rPr>
          <w:rFonts w:ascii="fang_song_gb2312" w:hAnsi="fang_song_gb2312" w:eastAsia="fang_song_gb2312" w:cs="fang_song_gb2312"/>
          <w:kern w:val="0"/>
          <w:sz w:val="28"/>
          <w:szCs w:val="28"/>
        </w:rPr>
        <w:t>、离休费</w:t>
      </w:r>
      <w:r>
        <w:rPr>
          <w:rFonts w:hint="eastAsia" w:ascii="fang_song_gb2312" w:hAnsi="fang_song_gb2312" w:cs="fang_song_gb2312"/>
          <w:kern w:val="0"/>
          <w:sz w:val="28"/>
          <w:szCs w:val="28"/>
          <w:lang w:val="en-US" w:eastAsia="zh-CN"/>
        </w:rPr>
        <w:t>13.95万元</w:t>
      </w:r>
      <w:r>
        <w:rPr>
          <w:rFonts w:ascii="fang_song_gb2312" w:hAnsi="fang_song_gb2312" w:eastAsia="fang_song_gb2312" w:cs="fang_song_gb2312"/>
          <w:kern w:val="0"/>
          <w:sz w:val="28"/>
          <w:szCs w:val="28"/>
        </w:rPr>
        <w:t>、退休费</w:t>
      </w:r>
      <w:r>
        <w:rPr>
          <w:rFonts w:hint="eastAsia" w:ascii="fang_song_gb2312" w:hAnsi="fang_song_gb2312" w:cs="fang_song_gb2312"/>
          <w:kern w:val="0"/>
          <w:sz w:val="28"/>
          <w:szCs w:val="28"/>
          <w:lang w:val="en-US" w:eastAsia="zh-CN"/>
        </w:rPr>
        <w:t>61.41万元</w:t>
      </w:r>
      <w:r>
        <w:rPr>
          <w:rFonts w:ascii="fang_song_gb2312" w:hAnsi="fang_song_gb2312" w:eastAsia="fang_song_gb2312" w:cs="fang_song_gb2312"/>
          <w:kern w:val="0"/>
          <w:sz w:val="28"/>
          <w:szCs w:val="28"/>
        </w:rPr>
        <w:t>、医疗费</w:t>
      </w:r>
      <w:r>
        <w:rPr>
          <w:rFonts w:hint="eastAsia" w:ascii="fang_song_gb2312" w:hAnsi="fang_song_gb2312" w:cs="fang_song_gb2312"/>
          <w:kern w:val="0"/>
          <w:sz w:val="28"/>
          <w:szCs w:val="28"/>
          <w:lang w:val="en-US" w:eastAsia="zh-CN"/>
        </w:rPr>
        <w:t>补助0.2万元、</w:t>
      </w:r>
      <w:r>
        <w:rPr>
          <w:rFonts w:ascii="fang_song_gb2312" w:hAnsi="fang_song_gb2312" w:eastAsia="fang_song_gb2312" w:cs="fang_song_gb2312"/>
          <w:kern w:val="0"/>
          <w:sz w:val="28"/>
          <w:szCs w:val="28"/>
        </w:rPr>
        <w:t>住房公积金</w:t>
      </w:r>
      <w:r>
        <w:rPr>
          <w:rFonts w:hint="eastAsia" w:ascii="fang_song_gb2312" w:hAnsi="fang_song_gb2312" w:cs="fang_song_gb2312"/>
          <w:kern w:val="0"/>
          <w:sz w:val="28"/>
          <w:szCs w:val="28"/>
          <w:lang w:val="en-US" w:eastAsia="zh-CN"/>
        </w:rPr>
        <w:t>20.05万元</w:t>
      </w:r>
      <w:r>
        <w:rPr>
          <w:rFonts w:ascii="fang_song_gb2312" w:hAnsi="fang_song_gb2312" w:eastAsia="fang_song_gb2312" w:cs="fang_song_gb2312"/>
          <w:kern w:val="0"/>
          <w:sz w:val="28"/>
          <w:szCs w:val="28"/>
        </w:rPr>
        <w:t>。</w:t>
      </w:r>
    </w:p>
    <w:p w14:paraId="48BD68C9">
      <w:pPr>
        <w:keepNext w:val="0"/>
        <w:keepLines w:val="0"/>
        <w:widowControl/>
        <w:suppressLineNumbers w:val="0"/>
        <w:jc w:val="left"/>
        <w:rPr>
          <w:rFonts w:hint="eastAsia" w:asciiTheme="minorEastAsia" w:hAnsiTheme="minorEastAsia" w:eastAsiaTheme="minorEastAsia" w:cstheme="minorEastAsia"/>
          <w:kern w:val="0"/>
          <w:sz w:val="28"/>
          <w:szCs w:val="28"/>
        </w:rPr>
      </w:pPr>
      <w:r>
        <w:rPr>
          <w:rFonts w:ascii="fang_song_gb2312" w:hAnsi="fang_song_gb2312" w:eastAsia="fang_song_gb2312" w:cs="fang_song_gb2312"/>
          <w:b/>
          <w:bCs/>
          <w:kern w:val="0"/>
          <w:sz w:val="28"/>
          <w:szCs w:val="28"/>
        </w:rPr>
        <w:t>    （二）公用经费</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b/>
          <w:bCs/>
          <w:kern w:val="0"/>
          <w:sz w:val="28"/>
          <w:szCs w:val="28"/>
        </w:rPr>
        <w:t>万元</w:t>
      </w:r>
      <w:r>
        <w:rPr>
          <w:rFonts w:ascii="fang_song_gb2312" w:hAnsi="fang_song_gb2312" w:eastAsia="fang_song_gb2312" w:cs="fang_song_gb2312"/>
          <w:kern w:val="0"/>
          <w:sz w:val="28"/>
          <w:szCs w:val="28"/>
        </w:rPr>
        <w:t>。</w:t>
      </w:r>
      <w:r>
        <w:rPr>
          <w:rFonts w:hint="eastAsia" w:asciiTheme="minorEastAsia" w:hAnsiTheme="minorEastAsia" w:eastAsiaTheme="minorEastAsia" w:cstheme="minorEastAsia"/>
          <w:color w:val="000000"/>
          <w:kern w:val="0"/>
          <w:sz w:val="28"/>
          <w:szCs w:val="28"/>
          <w:lang w:val="en-US" w:eastAsia="zh-CN" w:bidi="ar"/>
        </w:rPr>
        <w:t>本单位为差额拨款单位，无财政拨款公用经费。</w:t>
      </w:r>
    </w:p>
    <w:p w14:paraId="6CDF33A8">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28"/>
          <w:szCs w:val="28"/>
        </w:rPr>
        <w:t> </w:t>
      </w:r>
      <w:r>
        <w:rPr>
          <w:rFonts w:ascii="黑体" w:hAnsi="黑体" w:eastAsia="黑体" w:cs="黑体"/>
          <w:b/>
          <w:bCs/>
          <w:kern w:val="0"/>
          <w:sz w:val="30"/>
          <w:szCs w:val="30"/>
        </w:rPr>
        <w:t xml:space="preserve"> 七、一般公共预算财政拨款项目支出决算情况说明</w:t>
      </w:r>
    </w:p>
    <w:p w14:paraId="5594F809">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w:t>
      </w: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年度一般公共预算财政拨款项目支出决算</w:t>
      </w:r>
      <w:r>
        <w:rPr>
          <w:rFonts w:ascii="times_new_roman" w:hAnsi="times_new_roman" w:eastAsia="times_new_roman" w:cs="times_new_roman"/>
          <w:kern w:val="0"/>
          <w:sz w:val="28"/>
          <w:szCs w:val="28"/>
          <w:u w:val="single"/>
        </w:rPr>
        <w:t xml:space="preserve"> 22.95</w:t>
      </w:r>
      <w:r>
        <w:rPr>
          <w:rFonts w:ascii="fang_song_gb2312" w:hAnsi="fang_song_gb2312" w:eastAsia="fang_song_gb2312" w:cs="fang_song_gb2312"/>
          <w:kern w:val="0"/>
          <w:sz w:val="28"/>
          <w:szCs w:val="28"/>
        </w:rPr>
        <w:t>万元，其中：</w:t>
      </w:r>
    </w:p>
    <w:p w14:paraId="09230ADE">
      <w:pPr>
        <w:widowControl/>
        <w:numPr>
          <w:ilvl w:val="0"/>
          <w:numId w:val="2"/>
        </w:numPr>
        <w:spacing w:before="240" w:after="240"/>
        <w:ind w:left="499" w:leftChars="0" w:firstLine="0" w:firstLineChars="0"/>
        <w:rPr>
          <w:rFonts w:ascii="fang_song_gb2312" w:hAnsi="fang_song_gb2312" w:eastAsia="fang_song_gb2312" w:cs="fang_song_gb2312"/>
          <w:kern w:val="0"/>
          <w:sz w:val="28"/>
          <w:szCs w:val="28"/>
        </w:rPr>
      </w:pPr>
      <w:r>
        <w:rPr>
          <w:rFonts w:ascii="fang_song_gb2312" w:hAnsi="fang_song_gb2312" w:eastAsia="fang_song_gb2312" w:cs="fang_song_gb2312"/>
          <w:b/>
          <w:bCs/>
          <w:kern w:val="0"/>
          <w:sz w:val="28"/>
          <w:szCs w:val="28"/>
        </w:rPr>
        <w:t>工资福利支出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b/>
          <w:bCs/>
          <w:kern w:val="0"/>
          <w:sz w:val="28"/>
          <w:szCs w:val="28"/>
        </w:rPr>
        <w:t>万元</w:t>
      </w:r>
      <w:r>
        <w:rPr>
          <w:rFonts w:ascii="fang_song_gb2312" w:hAnsi="fang_song_gb2312" w:eastAsia="fang_song_gb2312" w:cs="fang_song_gb2312"/>
          <w:kern w:val="0"/>
          <w:sz w:val="28"/>
          <w:szCs w:val="28"/>
        </w:rPr>
        <w:t>。</w:t>
      </w:r>
    </w:p>
    <w:p w14:paraId="2B8A3C03">
      <w:pPr>
        <w:widowControl/>
        <w:numPr>
          <w:ilvl w:val="0"/>
          <w:numId w:val="0"/>
        </w:numPr>
        <w:spacing w:before="240" w:after="240"/>
        <w:ind w:left="499" w:leftChars="0"/>
        <w:rPr>
          <w:rFonts w:hint="eastAsia" w:ascii="Times New Roman" w:hAnsi="Times New Roman" w:eastAsia="宋体" w:cs="Times New Roman"/>
          <w:kern w:val="0"/>
          <w:sz w:val="28"/>
          <w:szCs w:val="28"/>
          <w:lang w:val="en-US" w:eastAsia="zh-CN"/>
        </w:rPr>
      </w:pPr>
      <w:r>
        <w:rPr>
          <w:rFonts w:ascii="fang_song_gb2312" w:hAnsi="fang_song_gb2312" w:eastAsia="fang_song_gb2312" w:cs="fang_song_gb2312"/>
          <w:b/>
          <w:bCs/>
          <w:kern w:val="0"/>
          <w:sz w:val="28"/>
          <w:szCs w:val="28"/>
        </w:rPr>
        <w:t>（二）商品和服务支出</w:t>
      </w:r>
      <w:r>
        <w:rPr>
          <w:rFonts w:ascii="times_new_roman" w:hAnsi="times_new_roman" w:eastAsia="times_new_roman" w:cs="times_new_roman"/>
          <w:kern w:val="0"/>
          <w:sz w:val="28"/>
          <w:szCs w:val="28"/>
          <w:u w:val="single"/>
        </w:rPr>
        <w:t xml:space="preserve"> 5.13</w:t>
      </w:r>
      <w:r>
        <w:rPr>
          <w:rFonts w:ascii="fang_song_gb2312" w:hAnsi="fang_song_gb2312" w:eastAsia="fang_song_gb2312" w:cs="fang_song_gb2312"/>
          <w:b/>
          <w:bCs/>
          <w:kern w:val="0"/>
          <w:sz w:val="28"/>
          <w:szCs w:val="28"/>
        </w:rPr>
        <w:t>万元</w:t>
      </w:r>
      <w:r>
        <w:rPr>
          <w:rFonts w:ascii="fang_song_gb2312" w:hAnsi="fang_song_gb2312" w:eastAsia="fang_song_gb2312" w:cs="fang_song_gb2312"/>
          <w:kern w:val="0"/>
          <w:sz w:val="28"/>
          <w:szCs w:val="28"/>
        </w:rPr>
        <w:t>。主要包括：</w:t>
      </w:r>
      <w:r>
        <w:rPr>
          <w:rFonts w:hint="eastAsia" w:ascii="fang_song_gb2312" w:hAnsi="fang_song_gb2312" w:cs="fang_song_gb2312"/>
          <w:kern w:val="0"/>
          <w:sz w:val="28"/>
          <w:szCs w:val="28"/>
          <w:lang w:val="en-US" w:eastAsia="zh-CN"/>
        </w:rPr>
        <w:t>公用</w:t>
      </w:r>
      <w:r>
        <w:rPr>
          <w:rFonts w:ascii="fang_song_gb2312" w:hAnsi="fang_song_gb2312" w:eastAsia="fang_song_gb2312" w:cs="fang_song_gb2312"/>
          <w:kern w:val="0"/>
          <w:sz w:val="28"/>
          <w:szCs w:val="28"/>
        </w:rPr>
        <w:t>取暖费</w:t>
      </w:r>
      <w:r>
        <w:rPr>
          <w:rFonts w:hint="eastAsia" w:ascii="fang_song_gb2312" w:hAnsi="fang_song_gb2312" w:cs="fang_song_gb2312"/>
          <w:kern w:val="0"/>
          <w:sz w:val="28"/>
          <w:szCs w:val="28"/>
          <w:lang w:val="en-US" w:eastAsia="zh-CN"/>
        </w:rPr>
        <w:t>支出</w:t>
      </w:r>
    </w:p>
    <w:p w14:paraId="07B5F70C">
      <w:pPr>
        <w:widowControl/>
        <w:spacing w:before="240" w:after="240"/>
        <w:ind w:firstLine="499"/>
        <w:rPr>
          <w:rFonts w:hint="eastAsia" w:ascii="fang_song_gb2312" w:hAnsi="fang_song_gb2312" w:cs="fang_song_gb2312"/>
          <w:b w:val="0"/>
          <w:bCs w:val="0"/>
          <w:kern w:val="0"/>
          <w:sz w:val="28"/>
          <w:szCs w:val="28"/>
          <w:lang w:val="en-US" w:eastAsia="zh-CN"/>
        </w:rPr>
      </w:pPr>
      <w:r>
        <w:rPr>
          <w:rFonts w:hint="eastAsia" w:ascii="fang_song_gb2312" w:hAnsi="fang_song_gb2312" w:cs="fang_song_gb2312"/>
          <w:kern w:val="0"/>
          <w:sz w:val="28"/>
          <w:szCs w:val="28"/>
          <w:lang w:eastAsia="zh-CN"/>
        </w:rPr>
        <w:t>（</w:t>
      </w:r>
      <w:r>
        <w:rPr>
          <w:rFonts w:hint="eastAsia" w:ascii="fang_song_gb2312" w:hAnsi="fang_song_gb2312" w:cs="fang_song_gb2312"/>
          <w:kern w:val="0"/>
          <w:sz w:val="28"/>
          <w:szCs w:val="28"/>
          <w:lang w:val="en-US" w:eastAsia="zh-CN"/>
        </w:rPr>
        <w:t>三</w:t>
      </w:r>
      <w:r>
        <w:rPr>
          <w:rFonts w:hint="eastAsia" w:ascii="fang_song_gb2312" w:hAnsi="fang_song_gb2312" w:cs="fang_song_gb2312"/>
          <w:kern w:val="0"/>
          <w:sz w:val="28"/>
          <w:szCs w:val="28"/>
          <w:lang w:eastAsia="zh-CN"/>
        </w:rPr>
        <w:t>）</w:t>
      </w:r>
      <w:r>
        <w:rPr>
          <w:rFonts w:hint="eastAsia" w:ascii="fang_song_gb2312" w:hAnsi="fang_song_gb2312" w:eastAsia="fang_song_gb2312" w:cs="fang_song_gb2312"/>
          <w:b/>
          <w:bCs/>
          <w:kern w:val="0"/>
          <w:sz w:val="28"/>
          <w:szCs w:val="28"/>
        </w:rPr>
        <w:t>其他对个人和家庭的补助</w:t>
      </w:r>
      <w:r>
        <w:rPr>
          <w:rFonts w:hint="eastAsia" w:ascii="fang_song_gb2312" w:hAnsi="fang_song_gb2312" w:cs="fang_song_gb2312"/>
          <w:b/>
          <w:bCs/>
          <w:kern w:val="0"/>
          <w:sz w:val="28"/>
          <w:szCs w:val="28"/>
          <w:u w:val="single"/>
          <w:lang w:val="en-US" w:eastAsia="zh-CN"/>
        </w:rPr>
        <w:t>5.5</w:t>
      </w:r>
      <w:r>
        <w:rPr>
          <w:rFonts w:hint="eastAsia" w:ascii="fang_song_gb2312" w:hAnsi="fang_song_gb2312" w:cs="fang_song_gb2312"/>
          <w:b/>
          <w:bCs/>
          <w:kern w:val="0"/>
          <w:sz w:val="28"/>
          <w:szCs w:val="28"/>
          <w:lang w:val="en-US" w:eastAsia="zh-CN"/>
        </w:rPr>
        <w:t>万元。</w:t>
      </w:r>
      <w:r>
        <w:rPr>
          <w:rFonts w:ascii="fang_song_gb2312" w:hAnsi="fang_song_gb2312" w:eastAsia="fang_song_gb2312" w:cs="fang_song_gb2312"/>
          <w:kern w:val="0"/>
          <w:sz w:val="28"/>
          <w:szCs w:val="28"/>
        </w:rPr>
        <w:t>主要包括：</w:t>
      </w:r>
      <w:r>
        <w:rPr>
          <w:rFonts w:hint="eastAsia" w:ascii="fang_song_gb2312" w:hAnsi="fang_song_gb2312" w:cs="fang_song_gb2312"/>
          <w:b w:val="0"/>
          <w:bCs w:val="0"/>
          <w:kern w:val="0"/>
          <w:sz w:val="28"/>
          <w:szCs w:val="28"/>
          <w:lang w:val="en-US" w:eastAsia="zh-CN"/>
        </w:rPr>
        <w:t>医疗费补助体检费</w:t>
      </w:r>
    </w:p>
    <w:p w14:paraId="7D52718E">
      <w:pPr>
        <w:widowControl/>
        <w:spacing w:before="240" w:after="240"/>
        <w:ind w:firstLine="499"/>
        <w:rPr>
          <w:rFonts w:hint="default" w:ascii="fang_song_gb2312" w:hAnsi="fang_song_gb2312" w:cs="fang_song_gb2312"/>
          <w:b w:val="0"/>
          <w:bCs w:val="0"/>
          <w:kern w:val="0"/>
          <w:sz w:val="28"/>
          <w:szCs w:val="28"/>
          <w:lang w:val="en-US" w:eastAsia="zh-CN"/>
        </w:rPr>
      </w:pPr>
      <w:r>
        <w:rPr>
          <w:rFonts w:hint="eastAsia" w:ascii="fang_song_gb2312" w:hAnsi="fang_song_gb2312" w:cs="fang_song_gb2312"/>
          <w:b/>
          <w:bCs/>
          <w:kern w:val="0"/>
          <w:sz w:val="28"/>
          <w:szCs w:val="28"/>
          <w:lang w:val="en-US" w:eastAsia="zh-CN"/>
        </w:rPr>
        <w:t>（四）资本性支出</w:t>
      </w:r>
      <w:r>
        <w:rPr>
          <w:rFonts w:hint="eastAsia" w:ascii="fang_song_gb2312" w:hAnsi="fang_song_gb2312" w:cs="fang_song_gb2312"/>
          <w:b w:val="0"/>
          <w:bCs w:val="0"/>
          <w:kern w:val="0"/>
          <w:sz w:val="28"/>
          <w:szCs w:val="28"/>
          <w:lang w:val="en-US" w:eastAsia="zh-CN"/>
        </w:rPr>
        <w:t xml:space="preserve"> </w:t>
      </w:r>
      <w:r>
        <w:rPr>
          <w:rFonts w:hint="eastAsia" w:ascii="fang_song_gb2312" w:hAnsi="fang_song_gb2312" w:cs="fang_song_gb2312"/>
          <w:b w:val="0"/>
          <w:bCs w:val="0"/>
          <w:kern w:val="0"/>
          <w:sz w:val="28"/>
          <w:szCs w:val="28"/>
          <w:u w:val="single"/>
          <w:lang w:val="en-US" w:eastAsia="zh-CN"/>
        </w:rPr>
        <w:t>12.32</w:t>
      </w:r>
      <w:r>
        <w:rPr>
          <w:rFonts w:hint="eastAsia" w:ascii="fang_song_gb2312" w:hAnsi="fang_song_gb2312" w:cs="fang_song_gb2312"/>
          <w:b w:val="0"/>
          <w:bCs w:val="0"/>
          <w:kern w:val="0"/>
          <w:sz w:val="28"/>
          <w:szCs w:val="28"/>
          <w:lang w:val="en-US" w:eastAsia="zh-CN"/>
        </w:rPr>
        <w:t>万元。主要包括：办公设备购置</w:t>
      </w:r>
    </w:p>
    <w:p w14:paraId="07026E21">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八、财政拨款“三公”经费支出决算情况说明</w:t>
      </w:r>
    </w:p>
    <w:p w14:paraId="6D682644">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xml:space="preserve">    </w:t>
      </w:r>
    </w:p>
    <w:p w14:paraId="190AD54D">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（一）财政拨款“三公”经费支出总体情况说明。</w:t>
      </w:r>
    </w:p>
    <w:p w14:paraId="7E30E883">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年度财政拨款“三公”经费全年预算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万元，支出决算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万元，完成预算的</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%。其中：因公出国（境）费全年预算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万元，支出决算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万元，完成预算的</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%；公务用车购置及运行维护费全年预算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万元，支出决算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万元，完成预算的</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%；公务接待费全年预算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万元，支出决算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万元，完成预算的</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%。2023年度一般公共预算财政拨款“三公”经费支出决算与预算</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差异原因。</w:t>
      </w:r>
    </w:p>
    <w:p w14:paraId="17D3D457">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（二）财政拨款“三公”经费支出具体情况说明。</w:t>
      </w:r>
    </w:p>
    <w:p w14:paraId="4C9A1FA5">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年度财政拨款“三公”经费支出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万元。因公出国（境）费支出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%；公务用车购置及运行维护费支出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%；公务接待费支出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万元，占</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%。其中：</w:t>
      </w:r>
    </w:p>
    <w:p w14:paraId="26A5AE9B">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w:t>
      </w:r>
      <w:r>
        <w:rPr>
          <w:rFonts w:ascii="times_new_roman" w:hAnsi="times_new_roman" w:eastAsia="times_new_roman" w:cs="times_new_roman"/>
          <w:kern w:val="0"/>
          <w:sz w:val="28"/>
          <w:szCs w:val="28"/>
        </w:rPr>
        <w:t>1.</w:t>
      </w:r>
      <w:r>
        <w:rPr>
          <w:rFonts w:ascii="fang_song_gb2312" w:hAnsi="fang_song_gb2312" w:eastAsia="fang_song_gb2312" w:cs="fang_song_gb2312"/>
          <w:kern w:val="0"/>
          <w:sz w:val="28"/>
          <w:szCs w:val="28"/>
        </w:rPr>
        <w:t>因公出国（境）费支出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万元，全年出国（境）团组</w:t>
      </w:r>
      <w:r>
        <w:rPr>
          <w:rFonts w:ascii="times_new_roman" w:hAnsi="times_new_roman" w:eastAsia="times_new_roman" w:cs="times_new_roman"/>
          <w:kern w:val="0"/>
          <w:sz w:val="28"/>
          <w:szCs w:val="28"/>
          <w:u w:val="single"/>
        </w:rPr>
        <w:t xml:space="preserve">0 </w:t>
      </w:r>
      <w:r>
        <w:rPr>
          <w:rFonts w:ascii="fang_song_gb2312" w:hAnsi="fang_song_gb2312" w:eastAsia="fang_song_gb2312" w:cs="fang_song_gb2312"/>
          <w:kern w:val="0"/>
          <w:sz w:val="28"/>
          <w:szCs w:val="28"/>
        </w:rPr>
        <w:t>个，累计</w:t>
      </w:r>
      <w:r>
        <w:rPr>
          <w:rFonts w:ascii="times_new_roman" w:hAnsi="times_new_roman" w:eastAsia="times_new_roman" w:cs="times_new_roman"/>
          <w:kern w:val="0"/>
          <w:sz w:val="28"/>
          <w:szCs w:val="28"/>
          <w:u w:val="single"/>
        </w:rPr>
        <w:t xml:space="preserve">0 </w:t>
      </w:r>
      <w:r>
        <w:rPr>
          <w:rFonts w:ascii="fang_song_gb2312" w:hAnsi="fang_song_gb2312" w:eastAsia="fang_song_gb2312" w:cs="fang_song_gb2312"/>
          <w:kern w:val="0"/>
          <w:sz w:val="28"/>
          <w:szCs w:val="28"/>
        </w:rPr>
        <w:t>人次。与上年决算相比，增加（减少）</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万元，增长（减少）</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无增减变动</w:t>
      </w:r>
      <w:r>
        <w:rPr>
          <w:rFonts w:ascii="fang_song_gb2312" w:hAnsi="fang_song_gb2312" w:eastAsia="fang_song_gb2312" w:cs="fang_song_gb2312"/>
          <w:kern w:val="0"/>
          <w:sz w:val="28"/>
          <w:szCs w:val="28"/>
        </w:rPr>
        <w:t>。</w:t>
      </w:r>
    </w:p>
    <w:p w14:paraId="7274AB77">
      <w:pPr>
        <w:widowControl/>
        <w:spacing w:before="240" w:after="240"/>
        <w:rPr>
          <w:rFonts w:ascii="Times New Roman" w:hAnsi="Times New Roman" w:eastAsia="Times New Roman" w:cs="Times New Roman"/>
          <w:kern w:val="0"/>
          <w:sz w:val="28"/>
          <w:szCs w:val="28"/>
        </w:rPr>
      </w:pPr>
      <w:r>
        <w:rPr>
          <w:rFonts w:ascii="times_new_roman" w:hAnsi="times_new_roman" w:eastAsia="times_new_roman" w:cs="times_new_roman"/>
          <w:kern w:val="0"/>
          <w:sz w:val="28"/>
          <w:szCs w:val="28"/>
        </w:rPr>
        <w:t>    2.</w:t>
      </w:r>
      <w:r>
        <w:rPr>
          <w:rFonts w:ascii="fang_song_gb2312" w:hAnsi="fang_song_gb2312" w:eastAsia="fang_song_gb2312" w:cs="fang_song_gb2312"/>
          <w:kern w:val="0"/>
          <w:sz w:val="28"/>
          <w:szCs w:val="28"/>
        </w:rPr>
        <w:t>公务用车购置及运行维护费支出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万元。其中：</w:t>
      </w:r>
    </w:p>
    <w:p w14:paraId="1ACB5145">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（1）公务用车购置支出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万元。本年度使用财政拨款购置公务用车</w:t>
      </w:r>
      <w:r>
        <w:rPr>
          <w:rFonts w:ascii="times_new_roman" w:hAnsi="times_new_roman" w:eastAsia="times_new_roman" w:cs="times_new_roman"/>
          <w:kern w:val="0"/>
          <w:sz w:val="28"/>
          <w:szCs w:val="28"/>
          <w:u w:val="single"/>
        </w:rPr>
        <w:t xml:space="preserve">0 </w:t>
      </w:r>
      <w:r>
        <w:rPr>
          <w:rFonts w:ascii="fang_song_gb2312" w:hAnsi="fang_song_gb2312" w:eastAsia="fang_song_gb2312" w:cs="fang_song_gb2312"/>
          <w:kern w:val="0"/>
          <w:sz w:val="28"/>
          <w:szCs w:val="28"/>
        </w:rPr>
        <w:t>辆，开支内容：</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。与上年决算相比，增加（减少）</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万元，增长（减少）</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无增减变动</w:t>
      </w:r>
      <w:r>
        <w:rPr>
          <w:rFonts w:ascii="fang_song_gb2312" w:hAnsi="fang_song_gb2312" w:eastAsia="fang_song_gb2312" w:cs="fang_song_gb2312"/>
          <w:kern w:val="0"/>
          <w:sz w:val="28"/>
          <w:szCs w:val="28"/>
        </w:rPr>
        <w:t>。</w:t>
      </w:r>
    </w:p>
    <w:p w14:paraId="27A7E227">
      <w:pPr>
        <w:widowControl/>
        <w:spacing w:before="240" w:after="240"/>
        <w:rPr>
          <w:rFonts w:hint="eastAsia" w:asciiTheme="minorEastAsia" w:hAnsiTheme="minorEastAsia" w:eastAsiaTheme="minorEastAsia" w:cstheme="minorEastAsia"/>
          <w:kern w:val="0"/>
          <w:sz w:val="28"/>
          <w:szCs w:val="28"/>
        </w:rPr>
      </w:pPr>
      <w:r>
        <w:rPr>
          <w:rFonts w:ascii="fang_song_gb2312" w:hAnsi="fang_song_gb2312" w:eastAsia="fang_song_gb2312" w:cs="fang_song_gb2312"/>
          <w:kern w:val="0"/>
          <w:sz w:val="28"/>
          <w:szCs w:val="28"/>
        </w:rPr>
        <w:t>    （2</w:t>
      </w:r>
      <w:r>
        <w:rPr>
          <w:rFonts w:hint="eastAsia" w:asciiTheme="minorEastAsia" w:hAnsiTheme="minorEastAsia" w:eastAsiaTheme="minorEastAsia" w:cstheme="minorEastAsia"/>
          <w:kern w:val="0"/>
          <w:sz w:val="28"/>
          <w:szCs w:val="28"/>
        </w:rPr>
        <w:t>）公务用车运行维护费支出</w:t>
      </w:r>
      <w:r>
        <w:rPr>
          <w:rFonts w:hint="eastAsia" w:asciiTheme="minorEastAsia" w:hAnsiTheme="minorEastAsia" w:eastAsiaTheme="minorEastAsia" w:cstheme="minorEastAsia"/>
          <w:kern w:val="0"/>
          <w:sz w:val="28"/>
          <w:szCs w:val="28"/>
          <w:u w:val="single"/>
        </w:rPr>
        <w:t xml:space="preserve"> 0.00</w:t>
      </w:r>
      <w:r>
        <w:rPr>
          <w:rFonts w:hint="eastAsia" w:asciiTheme="minorEastAsia" w:hAnsiTheme="minorEastAsia" w:eastAsiaTheme="minorEastAsia" w:cstheme="minorEastAsia"/>
          <w:kern w:val="0"/>
          <w:sz w:val="28"/>
          <w:szCs w:val="28"/>
        </w:rPr>
        <w:t>万元。公务用车运行维护费主要用于按规定保留的公务用车的燃料费、维修费、过桥过路费、保险费、安全奖励费用等支出。截至2023年12月31日，使用财政拨款开支的公务用车保有量为</w:t>
      </w:r>
      <w:r>
        <w:rPr>
          <w:rFonts w:hint="eastAsia" w:asciiTheme="minorEastAsia" w:hAnsiTheme="minorEastAsia" w:eastAsiaTheme="minorEastAsia" w:cstheme="minorEastAsia"/>
          <w:kern w:val="0"/>
          <w:sz w:val="28"/>
          <w:szCs w:val="28"/>
          <w:u w:val="single"/>
        </w:rPr>
        <w:t xml:space="preserve">0 </w:t>
      </w:r>
      <w:r>
        <w:rPr>
          <w:rFonts w:hint="eastAsia" w:asciiTheme="minorEastAsia" w:hAnsiTheme="minorEastAsia" w:eastAsiaTheme="minorEastAsia" w:cstheme="minorEastAsia"/>
          <w:kern w:val="0"/>
          <w:sz w:val="28"/>
          <w:szCs w:val="28"/>
        </w:rPr>
        <w:t>辆。与上年决算相比，增加（减少）</w:t>
      </w:r>
      <w:r>
        <w:rPr>
          <w:rFonts w:hint="eastAsia" w:asciiTheme="minorEastAsia" w:hAnsiTheme="minorEastAsia" w:eastAsiaTheme="minorEastAsia" w:cstheme="minorEastAsia"/>
          <w:kern w:val="0"/>
          <w:sz w:val="28"/>
          <w:szCs w:val="28"/>
          <w:u w:val="single"/>
        </w:rPr>
        <w:t xml:space="preserve"> 0.00</w:t>
      </w:r>
      <w:r>
        <w:rPr>
          <w:rFonts w:hint="eastAsia" w:asciiTheme="minorEastAsia" w:hAnsiTheme="minorEastAsia" w:eastAsiaTheme="minorEastAsia" w:cstheme="minorEastAsia"/>
          <w:kern w:val="0"/>
          <w:sz w:val="28"/>
          <w:szCs w:val="28"/>
        </w:rPr>
        <w:t>万元，增长（减少）</w:t>
      </w:r>
      <w:r>
        <w:rPr>
          <w:rFonts w:hint="eastAsia" w:asciiTheme="minorEastAsia" w:hAnsiTheme="minorEastAsia" w:eastAsiaTheme="minorEastAsia" w:cstheme="minorEastAsia"/>
          <w:kern w:val="0"/>
          <w:sz w:val="28"/>
          <w:szCs w:val="28"/>
          <w:u w:val="single"/>
          <w:lang w:val="en-US" w:eastAsia="zh-CN"/>
        </w:rPr>
        <w:t>0</w:t>
      </w:r>
      <w:r>
        <w:rPr>
          <w:rFonts w:hint="eastAsia" w:asciiTheme="minorEastAsia" w:hAnsiTheme="minorEastAsia" w:eastAsiaTheme="minorEastAsia" w:cstheme="minorEastAsia"/>
          <w:kern w:val="0"/>
          <w:sz w:val="28"/>
          <w:szCs w:val="28"/>
        </w:rPr>
        <w:t>%，变动原因：</w:t>
      </w:r>
      <w:r>
        <w:rPr>
          <w:rFonts w:hint="eastAsia" w:asciiTheme="minorEastAsia" w:hAnsiTheme="minorEastAsia" w:eastAsiaTheme="minorEastAsia" w:cstheme="minorEastAsia"/>
          <w:kern w:val="0"/>
          <w:sz w:val="28"/>
          <w:szCs w:val="28"/>
          <w:lang w:val="en-US" w:eastAsia="zh-CN"/>
        </w:rPr>
        <w:t>无增减变动</w:t>
      </w:r>
      <w:r>
        <w:rPr>
          <w:rFonts w:hint="eastAsia" w:asciiTheme="minorEastAsia" w:hAnsiTheme="minorEastAsia" w:eastAsiaTheme="minorEastAsia" w:cstheme="minorEastAsia"/>
          <w:kern w:val="0"/>
          <w:sz w:val="28"/>
          <w:szCs w:val="28"/>
        </w:rPr>
        <w:t>。</w:t>
      </w:r>
    </w:p>
    <w:p w14:paraId="0EEFC81B">
      <w:pPr>
        <w:widowControl/>
        <w:spacing w:before="240" w:after="24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    3.公务接待费支出</w:t>
      </w:r>
      <w:r>
        <w:rPr>
          <w:rFonts w:hint="eastAsia" w:asciiTheme="minorEastAsia" w:hAnsiTheme="minorEastAsia" w:eastAsiaTheme="minorEastAsia" w:cstheme="minorEastAsia"/>
          <w:kern w:val="0"/>
          <w:sz w:val="28"/>
          <w:szCs w:val="28"/>
          <w:u w:val="single"/>
        </w:rPr>
        <w:t xml:space="preserve"> 0.00</w:t>
      </w:r>
      <w:r>
        <w:rPr>
          <w:rFonts w:hint="eastAsia" w:asciiTheme="minorEastAsia" w:hAnsiTheme="minorEastAsia" w:eastAsiaTheme="minorEastAsia" w:cstheme="minorEastAsia"/>
          <w:kern w:val="0"/>
          <w:sz w:val="28"/>
          <w:szCs w:val="28"/>
        </w:rPr>
        <w:t>万元。其中：国内公务接待支出</w:t>
      </w:r>
      <w:r>
        <w:rPr>
          <w:rFonts w:hint="eastAsia" w:asciiTheme="minorEastAsia" w:hAnsiTheme="minorEastAsia" w:eastAsiaTheme="minorEastAsia" w:cstheme="minorEastAsia"/>
          <w:kern w:val="0"/>
          <w:sz w:val="28"/>
          <w:szCs w:val="28"/>
          <w:u w:val="single"/>
        </w:rPr>
        <w:t xml:space="preserve"> 0.00</w:t>
      </w:r>
      <w:r>
        <w:rPr>
          <w:rFonts w:hint="eastAsia" w:asciiTheme="minorEastAsia" w:hAnsiTheme="minorEastAsia" w:eastAsiaTheme="minorEastAsia" w:cstheme="minorEastAsia"/>
          <w:kern w:val="0"/>
          <w:sz w:val="28"/>
          <w:szCs w:val="28"/>
        </w:rPr>
        <w:t>万元，接待</w:t>
      </w:r>
      <w:r>
        <w:rPr>
          <w:rFonts w:hint="eastAsia" w:asciiTheme="minorEastAsia" w:hAnsiTheme="minorEastAsia" w:eastAsiaTheme="minorEastAsia" w:cstheme="minorEastAsia"/>
          <w:kern w:val="0"/>
          <w:sz w:val="28"/>
          <w:szCs w:val="28"/>
          <w:u w:val="single"/>
        </w:rPr>
        <w:t xml:space="preserve">0 </w:t>
      </w:r>
      <w:r>
        <w:rPr>
          <w:rFonts w:hint="eastAsia" w:asciiTheme="minorEastAsia" w:hAnsiTheme="minorEastAsia" w:eastAsiaTheme="minorEastAsia" w:cstheme="minorEastAsia"/>
          <w:kern w:val="0"/>
          <w:sz w:val="28"/>
          <w:szCs w:val="28"/>
        </w:rPr>
        <w:t>批次，</w:t>
      </w:r>
      <w:r>
        <w:rPr>
          <w:rFonts w:hint="eastAsia" w:asciiTheme="minorEastAsia" w:hAnsiTheme="minorEastAsia" w:eastAsiaTheme="minorEastAsia" w:cstheme="minorEastAsia"/>
          <w:kern w:val="0"/>
          <w:sz w:val="28"/>
          <w:szCs w:val="28"/>
          <w:u w:val="single"/>
        </w:rPr>
        <w:t xml:space="preserve">0 </w:t>
      </w:r>
      <w:r>
        <w:rPr>
          <w:rFonts w:hint="eastAsia" w:asciiTheme="minorEastAsia" w:hAnsiTheme="minorEastAsia" w:eastAsiaTheme="minorEastAsia" w:cstheme="minorEastAsia"/>
          <w:kern w:val="0"/>
          <w:sz w:val="28"/>
          <w:szCs w:val="28"/>
        </w:rPr>
        <w:t>人次，开支内容：</w:t>
      </w:r>
      <w:r>
        <w:rPr>
          <w:rFonts w:hint="eastAsia" w:asciiTheme="minorEastAsia" w:hAnsiTheme="minorEastAsia" w:eastAsiaTheme="minorEastAsia" w:cstheme="minorEastAsia"/>
          <w:kern w:val="0"/>
          <w:sz w:val="28"/>
          <w:szCs w:val="28"/>
          <w:lang w:val="en-US" w:eastAsia="zh-CN"/>
        </w:rPr>
        <w:t>无</w:t>
      </w:r>
      <w:r>
        <w:rPr>
          <w:rFonts w:hint="eastAsia" w:asciiTheme="minorEastAsia" w:hAnsiTheme="minorEastAsia" w:eastAsiaTheme="minorEastAsia" w:cstheme="minorEastAsia"/>
          <w:kern w:val="0"/>
          <w:sz w:val="28"/>
          <w:szCs w:val="28"/>
        </w:rPr>
        <w:t>；国（境）外公务接待支出</w:t>
      </w:r>
      <w:r>
        <w:rPr>
          <w:rFonts w:hint="eastAsia" w:asciiTheme="minorEastAsia" w:hAnsiTheme="minorEastAsia" w:eastAsiaTheme="minorEastAsia" w:cstheme="minorEastAsia"/>
          <w:kern w:val="0"/>
          <w:sz w:val="28"/>
          <w:szCs w:val="28"/>
          <w:u w:val="single"/>
        </w:rPr>
        <w:t xml:space="preserve"> 0.00</w:t>
      </w:r>
      <w:r>
        <w:rPr>
          <w:rFonts w:hint="eastAsia" w:asciiTheme="minorEastAsia" w:hAnsiTheme="minorEastAsia" w:eastAsiaTheme="minorEastAsia" w:cstheme="minorEastAsia"/>
          <w:kern w:val="0"/>
          <w:sz w:val="28"/>
          <w:szCs w:val="28"/>
        </w:rPr>
        <w:t>万元，接待</w:t>
      </w:r>
      <w:r>
        <w:rPr>
          <w:rFonts w:hint="eastAsia" w:asciiTheme="minorEastAsia" w:hAnsiTheme="minorEastAsia" w:eastAsiaTheme="minorEastAsia" w:cstheme="minorEastAsia"/>
          <w:kern w:val="0"/>
          <w:sz w:val="28"/>
          <w:szCs w:val="28"/>
          <w:u w:val="single"/>
        </w:rPr>
        <w:t xml:space="preserve">0 </w:t>
      </w:r>
      <w:r>
        <w:rPr>
          <w:rFonts w:hint="eastAsia" w:asciiTheme="minorEastAsia" w:hAnsiTheme="minorEastAsia" w:eastAsiaTheme="minorEastAsia" w:cstheme="minorEastAsia"/>
          <w:kern w:val="0"/>
          <w:sz w:val="28"/>
          <w:szCs w:val="28"/>
        </w:rPr>
        <w:t>批次，</w:t>
      </w:r>
      <w:r>
        <w:rPr>
          <w:rFonts w:hint="eastAsia" w:asciiTheme="minorEastAsia" w:hAnsiTheme="minorEastAsia" w:eastAsiaTheme="minorEastAsia" w:cstheme="minorEastAsia"/>
          <w:kern w:val="0"/>
          <w:sz w:val="28"/>
          <w:szCs w:val="28"/>
          <w:u w:val="single"/>
        </w:rPr>
        <w:t xml:space="preserve">0 </w:t>
      </w:r>
      <w:r>
        <w:rPr>
          <w:rFonts w:hint="eastAsia" w:asciiTheme="minorEastAsia" w:hAnsiTheme="minorEastAsia" w:eastAsiaTheme="minorEastAsia" w:cstheme="minorEastAsia"/>
          <w:kern w:val="0"/>
          <w:sz w:val="28"/>
          <w:szCs w:val="28"/>
        </w:rPr>
        <w:t>人次，开支内容：</w:t>
      </w:r>
      <w:r>
        <w:rPr>
          <w:rFonts w:hint="eastAsia" w:asciiTheme="minorEastAsia" w:hAnsiTheme="minorEastAsia" w:eastAsiaTheme="minorEastAsia" w:cstheme="minorEastAsia"/>
          <w:kern w:val="0"/>
          <w:sz w:val="28"/>
          <w:szCs w:val="28"/>
          <w:lang w:val="en-US" w:eastAsia="zh-CN"/>
        </w:rPr>
        <w:t>无</w:t>
      </w:r>
      <w:r>
        <w:rPr>
          <w:rFonts w:hint="eastAsia" w:asciiTheme="minorEastAsia" w:hAnsiTheme="minorEastAsia" w:eastAsiaTheme="minorEastAsia" w:cstheme="minorEastAsia"/>
          <w:kern w:val="0"/>
          <w:sz w:val="28"/>
          <w:szCs w:val="28"/>
        </w:rPr>
        <w:t>。与上年决算相比，增加（减少）</w:t>
      </w:r>
      <w:r>
        <w:rPr>
          <w:rFonts w:hint="eastAsia" w:asciiTheme="minorEastAsia" w:hAnsiTheme="minorEastAsia" w:eastAsiaTheme="minorEastAsia" w:cstheme="minorEastAsia"/>
          <w:kern w:val="0"/>
          <w:sz w:val="28"/>
          <w:szCs w:val="28"/>
          <w:u w:val="single"/>
        </w:rPr>
        <w:t xml:space="preserve"> 0.00</w:t>
      </w:r>
      <w:r>
        <w:rPr>
          <w:rFonts w:hint="eastAsia" w:asciiTheme="minorEastAsia" w:hAnsiTheme="minorEastAsia" w:eastAsiaTheme="minorEastAsia" w:cstheme="minorEastAsia"/>
          <w:kern w:val="0"/>
          <w:sz w:val="28"/>
          <w:szCs w:val="28"/>
        </w:rPr>
        <w:t>万元，增长（减少）</w:t>
      </w:r>
      <w:r>
        <w:rPr>
          <w:rFonts w:hint="eastAsia" w:asciiTheme="minorEastAsia" w:hAnsiTheme="minorEastAsia" w:eastAsiaTheme="minorEastAsia" w:cstheme="minorEastAsia"/>
          <w:kern w:val="0"/>
          <w:sz w:val="28"/>
          <w:szCs w:val="28"/>
          <w:u w:val="single"/>
        </w:rPr>
        <w:t xml:space="preserve"> </w:t>
      </w:r>
      <w:r>
        <w:rPr>
          <w:rFonts w:hint="eastAsia" w:asciiTheme="minorEastAsia" w:hAnsiTheme="minorEastAsia" w:eastAsiaTheme="minorEastAsia" w:cstheme="minorEastAsia"/>
          <w:kern w:val="0"/>
          <w:sz w:val="28"/>
          <w:szCs w:val="28"/>
          <w:u w:val="single"/>
          <w:lang w:val="en-US" w:eastAsia="zh-CN"/>
        </w:rPr>
        <w:t>0</w:t>
      </w:r>
      <w:r>
        <w:rPr>
          <w:rFonts w:hint="eastAsia" w:asciiTheme="minorEastAsia" w:hAnsiTheme="minorEastAsia" w:eastAsiaTheme="minorEastAsia" w:cstheme="minorEastAsia"/>
          <w:kern w:val="0"/>
          <w:sz w:val="28"/>
          <w:szCs w:val="28"/>
        </w:rPr>
        <w:t>%，变动原因：</w:t>
      </w:r>
      <w:r>
        <w:rPr>
          <w:rFonts w:hint="eastAsia" w:asciiTheme="minorEastAsia" w:hAnsiTheme="minorEastAsia" w:eastAsiaTheme="minorEastAsia" w:cstheme="minorEastAsia"/>
          <w:kern w:val="0"/>
          <w:sz w:val="28"/>
          <w:szCs w:val="28"/>
          <w:lang w:val="en-US" w:eastAsia="zh-CN"/>
        </w:rPr>
        <w:t>无增减变动</w:t>
      </w:r>
      <w:r>
        <w:rPr>
          <w:rFonts w:hint="eastAsia" w:asciiTheme="minorEastAsia" w:hAnsiTheme="minorEastAsia" w:eastAsiaTheme="minorEastAsia" w:cstheme="minorEastAsia"/>
          <w:kern w:val="0"/>
          <w:sz w:val="28"/>
          <w:szCs w:val="28"/>
        </w:rPr>
        <w:t>。</w:t>
      </w:r>
    </w:p>
    <w:p w14:paraId="1186003B">
      <w:pPr>
        <w:widowControl/>
        <w:spacing w:before="240" w:after="240"/>
        <w:rPr>
          <w:rFonts w:hint="eastAsia" w:asciiTheme="minorEastAsia" w:hAnsiTheme="minorEastAsia" w:eastAsiaTheme="minorEastAsia" w:cstheme="minorEastAsia"/>
          <w:b w:val="0"/>
          <w:bCs w:val="0"/>
          <w:color w:val="auto"/>
          <w:kern w:val="0"/>
          <w:sz w:val="28"/>
          <w:szCs w:val="28"/>
          <w:lang w:val="en-US" w:eastAsia="zh-CN"/>
        </w:rPr>
      </w:pPr>
      <w:r>
        <w:rPr>
          <w:rFonts w:ascii="fang_song_gb2312" w:hAnsi="fang_song_gb2312" w:eastAsia="fang_song_gb2312" w:cs="fang_song_gb2312"/>
          <w:color w:val="0E00FE"/>
          <w:kern w:val="0"/>
          <w:sz w:val="28"/>
          <w:szCs w:val="28"/>
        </w:rPr>
        <w:t xml:space="preserve">  </w:t>
      </w:r>
      <w:r>
        <w:rPr>
          <w:rFonts w:ascii="fang_song_gb2312" w:hAnsi="fang_song_gb2312" w:eastAsia="fang_song_gb2312" w:cs="fang_song_gb2312"/>
          <w:b w:val="0"/>
          <w:bCs w:val="0"/>
          <w:color w:val="auto"/>
          <w:kern w:val="0"/>
          <w:sz w:val="28"/>
          <w:szCs w:val="28"/>
        </w:rPr>
        <w:t> </w:t>
      </w:r>
      <w:r>
        <w:rPr>
          <w:rFonts w:hint="eastAsia" w:asciiTheme="minorEastAsia" w:hAnsiTheme="minorEastAsia" w:eastAsiaTheme="minorEastAsia" w:cstheme="minorEastAsia"/>
          <w:b w:val="0"/>
          <w:bCs w:val="0"/>
          <w:color w:val="auto"/>
          <w:kern w:val="0"/>
          <w:sz w:val="28"/>
          <w:szCs w:val="28"/>
        </w:rPr>
        <w:t xml:space="preserve"> </w:t>
      </w:r>
      <w:r>
        <w:rPr>
          <w:rFonts w:hint="eastAsia" w:asciiTheme="minorEastAsia" w:hAnsiTheme="minorEastAsia" w:eastAsiaTheme="minorEastAsia" w:cstheme="minorEastAsia"/>
          <w:b w:val="0"/>
          <w:bCs w:val="0"/>
          <w:color w:val="auto"/>
          <w:kern w:val="0"/>
          <w:sz w:val="28"/>
          <w:szCs w:val="28"/>
          <w:lang w:val="en-US" w:eastAsia="zh-CN"/>
        </w:rPr>
        <w:t>我单位为差额拨款事业单位，无财政拨款三公经费。</w:t>
      </w:r>
    </w:p>
    <w:p w14:paraId="13B6C2ED">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30"/>
          <w:szCs w:val="30"/>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九、政府性基金预算财政拨款支出决算情况说明</w:t>
      </w:r>
    </w:p>
    <w:p w14:paraId="045B0811">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xml:space="preserve">  </w:t>
      </w: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年度政府性基金预算财政拨款支出决算</w:t>
      </w:r>
      <w:r>
        <w:rPr>
          <w:rFonts w:ascii="times_new_roman" w:hAnsi="times_new_roman" w:eastAsia="times_new_roman" w:cs="times_new_roman"/>
          <w:kern w:val="0"/>
          <w:sz w:val="28"/>
          <w:szCs w:val="28"/>
          <w:u w:val="single"/>
        </w:rPr>
        <w:t xml:space="preserve"> 63.50</w:t>
      </w:r>
      <w:r>
        <w:rPr>
          <w:rFonts w:ascii="fang_song_gb2312" w:hAnsi="fang_song_gb2312" w:eastAsia="fang_song_gb2312" w:cs="fang_song_gb2312"/>
          <w:kern w:val="0"/>
          <w:sz w:val="28"/>
          <w:szCs w:val="28"/>
        </w:rPr>
        <w:t>万元。与上年决算相比，增加</w:t>
      </w:r>
      <w:r>
        <w:rPr>
          <w:rFonts w:ascii="times_new_roman" w:hAnsi="times_new_roman" w:eastAsia="times_new_roman" w:cs="times_new_roman"/>
          <w:kern w:val="0"/>
          <w:sz w:val="28"/>
          <w:szCs w:val="28"/>
          <w:u w:val="single"/>
        </w:rPr>
        <w:t xml:space="preserve"> 12.55</w:t>
      </w:r>
      <w:r>
        <w:rPr>
          <w:rFonts w:ascii="fang_song_gb2312" w:hAnsi="fang_song_gb2312" w:eastAsia="fang_song_gb2312" w:cs="fang_song_gb2312"/>
          <w:kern w:val="0"/>
          <w:sz w:val="28"/>
          <w:szCs w:val="28"/>
        </w:rPr>
        <w:t>万元，增长</w:t>
      </w:r>
      <w:r>
        <w:rPr>
          <w:rFonts w:ascii="times_new_roman" w:hAnsi="times_new_roman" w:eastAsia="times_new_roman" w:cs="times_new_roman"/>
          <w:kern w:val="0"/>
          <w:sz w:val="28"/>
          <w:szCs w:val="28"/>
          <w:u w:val="single"/>
        </w:rPr>
        <w:t>24.62</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增加设备购置项目</w:t>
      </w:r>
      <w:r>
        <w:rPr>
          <w:rFonts w:ascii="fang_song_gb2312" w:hAnsi="fang_song_gb2312" w:eastAsia="fang_song_gb2312" w:cs="fang_song_gb2312"/>
          <w:kern w:val="0"/>
          <w:sz w:val="28"/>
          <w:szCs w:val="28"/>
        </w:rPr>
        <w:t>。其中：</w:t>
      </w:r>
    </w:p>
    <w:p w14:paraId="236CF67C">
      <w:pPr>
        <w:keepNext w:val="0"/>
        <w:keepLines w:val="0"/>
        <w:widowControl/>
        <w:suppressLineNumbers w:val="0"/>
        <w:jc w:val="left"/>
        <w:rPr>
          <w:rFonts w:hint="eastAsia" w:asciiTheme="minorEastAsia" w:hAnsiTheme="minorEastAsia" w:eastAsiaTheme="minorEastAsia" w:cstheme="minorEastAsia"/>
          <w:sz w:val="28"/>
          <w:szCs w:val="28"/>
        </w:rPr>
      </w:pPr>
      <w:r>
        <w:rPr>
          <w:rFonts w:ascii="fang_song_gb2312" w:hAnsi="fang_song_gb2312" w:eastAsia="fang_song_gb2312" w:cs="fang_song_gb2312"/>
          <w:kern w:val="0"/>
          <w:sz w:val="28"/>
          <w:szCs w:val="28"/>
        </w:rPr>
        <w:t xml:space="preserve">  </w:t>
      </w:r>
      <w:r>
        <w:rPr>
          <w:rFonts w:hint="eastAsia" w:asciiTheme="minorEastAsia" w:hAnsiTheme="minorEastAsia" w:eastAsiaTheme="minorEastAsia" w:cstheme="minorEastAsia"/>
          <w:kern w:val="0"/>
          <w:sz w:val="28"/>
          <w:szCs w:val="28"/>
        </w:rPr>
        <w:t xml:space="preserve">  </w:t>
      </w:r>
      <w:r>
        <w:rPr>
          <w:rFonts w:hint="eastAsia" w:asciiTheme="minorEastAsia" w:hAnsiTheme="minorEastAsia" w:eastAsiaTheme="minorEastAsia" w:cstheme="minorEastAsia"/>
          <w:color w:val="000000"/>
          <w:kern w:val="0"/>
          <w:sz w:val="28"/>
          <w:szCs w:val="28"/>
          <w:lang w:val="en-US" w:eastAsia="zh-CN" w:bidi="ar"/>
        </w:rPr>
        <w:t>（一）其他支出（类）彩票公益金安排的支出（款）用于社会福利的彩票公益金支出（项）支出</w:t>
      </w:r>
      <w:r>
        <w:rPr>
          <w:rFonts w:hint="eastAsia" w:ascii="times_new_roman" w:hAnsi="times_new_roman" w:cs="times_new_roman"/>
          <w:kern w:val="0"/>
          <w:sz w:val="28"/>
          <w:szCs w:val="28"/>
          <w:u w:val="single"/>
          <w:lang w:val="en-US" w:eastAsia="zh-CN"/>
        </w:rPr>
        <w:t>63.50</w:t>
      </w:r>
      <w:r>
        <w:rPr>
          <w:rFonts w:hint="eastAsia" w:asciiTheme="minorEastAsia" w:hAnsiTheme="minorEastAsia" w:eastAsiaTheme="minorEastAsia" w:cstheme="minorEastAsia"/>
          <w:color w:val="000000"/>
          <w:kern w:val="0"/>
          <w:sz w:val="28"/>
          <w:szCs w:val="28"/>
          <w:lang w:val="en-US" w:eastAsia="zh-CN" w:bidi="ar"/>
        </w:rPr>
        <w:t>万元，主要用于维修费、委托业务费、设备购置费。</w:t>
      </w:r>
    </w:p>
    <w:p w14:paraId="1B92856E">
      <w:pPr>
        <w:widowControl/>
        <w:spacing w:before="240" w:after="240"/>
        <w:jc w:val="left"/>
        <w:rPr>
          <w:rFonts w:ascii="Calibri" w:hAnsi="Calibri" w:eastAsia="Calibri" w:cs="Calibri"/>
          <w:b/>
          <w:bCs/>
          <w:kern w:val="0"/>
          <w:sz w:val="28"/>
          <w:szCs w:val="28"/>
        </w:rPr>
      </w:pPr>
    </w:p>
    <w:p w14:paraId="7C26612B">
      <w:pPr>
        <w:widowControl/>
        <w:spacing w:before="240" w:after="240"/>
        <w:jc w:val="left"/>
        <w:rPr>
          <w:rFonts w:ascii="Calibri" w:hAnsi="Calibri" w:eastAsia="Calibri" w:cs="Calibri"/>
          <w:b/>
          <w:bCs/>
          <w:kern w:val="0"/>
          <w:sz w:val="28"/>
          <w:szCs w:val="28"/>
        </w:rPr>
      </w:pPr>
    </w:p>
    <w:p w14:paraId="1981EE18">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黑体" w:hAnsi="黑体" w:eastAsia="黑体" w:cs="黑体"/>
          <w:b/>
          <w:bCs/>
          <w:kern w:val="0"/>
          <w:sz w:val="30"/>
          <w:szCs w:val="30"/>
        </w:rPr>
        <w:t>十、国有资本经营预算财政拨款支出决算情况说明</w:t>
      </w:r>
    </w:p>
    <w:p w14:paraId="36488289">
      <w:pPr>
        <w:widowControl/>
        <w:spacing w:before="240" w:after="240"/>
        <w:rPr>
          <w:rFonts w:hint="eastAsia" w:ascii="fang_song_gb2312" w:hAnsi="fang_song_gb2312" w:cs="fang_song_gb2312"/>
          <w:kern w:val="0"/>
          <w:sz w:val="28"/>
          <w:szCs w:val="28"/>
          <w:lang w:val="en-US" w:eastAsia="zh-CN"/>
        </w:rPr>
      </w:pPr>
      <w:r>
        <w:rPr>
          <w:rFonts w:ascii="fang_song_gb2312" w:hAnsi="fang_song_gb2312" w:eastAsia="fang_song_gb2312" w:cs="fang_song_gb2312"/>
          <w:color w:val="0E00FE"/>
          <w:kern w:val="0"/>
          <w:sz w:val="28"/>
          <w:szCs w:val="28"/>
        </w:rPr>
        <w:t>   </w:t>
      </w: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年度国有资本经营预算财政拨款支出决算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万元。与上年决算相比，增加（减少）</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万元，增长（减少）</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无</w:t>
      </w:r>
    </w:p>
    <w:p w14:paraId="7B9F62AC">
      <w:pPr>
        <w:widowControl/>
        <w:spacing w:before="240" w:after="240"/>
        <w:ind w:firstLine="840" w:firstLineChars="300"/>
        <w:rPr>
          <w:rFonts w:ascii="Times New Roman" w:hAnsi="Times New Roman" w:eastAsia="Times New Roman" w:cs="Times New Roman"/>
          <w:color w:val="auto"/>
          <w:kern w:val="0"/>
          <w:sz w:val="28"/>
          <w:szCs w:val="28"/>
        </w:rPr>
      </w:pPr>
      <w:r>
        <w:rPr>
          <w:rFonts w:ascii="fang_song_gb2312" w:hAnsi="fang_song_gb2312" w:eastAsia="fang_song_gb2312" w:cs="fang_song_gb2312"/>
          <w:color w:val="auto"/>
          <w:kern w:val="0"/>
          <w:sz w:val="28"/>
          <w:szCs w:val="28"/>
        </w:rPr>
        <w:t>本单位无国有资本经营预算财政拨款收、支、余。</w:t>
      </w:r>
    </w:p>
    <w:p w14:paraId="079F920B">
      <w:pPr>
        <w:widowControl/>
        <w:spacing w:before="240" w:after="240"/>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十一、机构运行经费支出决算情况说明</w:t>
      </w:r>
    </w:p>
    <w:p w14:paraId="75A8844A">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年度机构运行经费支出决算</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万元。比上年决算相比，增加（减少）</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万元，增长（减少）</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%，变动原因：</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w:t>
      </w:r>
    </w:p>
    <w:p w14:paraId="67481E0A">
      <w:pPr>
        <w:keepNext w:val="0"/>
        <w:keepLines w:val="0"/>
        <w:widowControl/>
        <w:suppressLineNumbers w:val="0"/>
        <w:jc w:val="left"/>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w:t>
      </w:r>
      <w:r>
        <w:rPr>
          <w:rFonts w:hint="eastAsia" w:asciiTheme="minorEastAsia" w:hAnsiTheme="minorEastAsia" w:eastAsiaTheme="minorEastAsia" w:cstheme="minorEastAsia"/>
          <w:color w:val="0E00FE"/>
          <w:kern w:val="0"/>
          <w:sz w:val="28"/>
          <w:szCs w:val="28"/>
        </w:rPr>
        <w:t xml:space="preserve">   </w:t>
      </w:r>
      <w:r>
        <w:rPr>
          <w:rFonts w:hint="eastAsia" w:asciiTheme="minorEastAsia" w:hAnsiTheme="minorEastAsia" w:eastAsiaTheme="minorEastAsia" w:cstheme="minorEastAsia"/>
          <w:color w:val="000000"/>
          <w:kern w:val="0"/>
          <w:sz w:val="28"/>
          <w:szCs w:val="28"/>
          <w:lang w:val="en-US" w:eastAsia="zh-CN" w:bidi="ar"/>
        </w:rPr>
        <w:t>我单位为差额拨款单位，无财政拨款机构运行经费。</w:t>
      </w:r>
    </w:p>
    <w:p w14:paraId="618411B3">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28"/>
          <w:szCs w:val="28"/>
        </w:rPr>
        <w:t> </w:t>
      </w:r>
      <w:r>
        <w:rPr>
          <w:rFonts w:ascii="黑体" w:hAnsi="黑体" w:eastAsia="黑体" w:cs="黑体"/>
          <w:b/>
          <w:bCs/>
          <w:kern w:val="0"/>
          <w:sz w:val="28"/>
          <w:szCs w:val="28"/>
        </w:rPr>
        <w:t xml:space="preserve"> </w:t>
      </w:r>
      <w:r>
        <w:rPr>
          <w:rFonts w:ascii="Calibri" w:hAnsi="Calibri" w:eastAsia="Calibri" w:cs="Calibri"/>
          <w:b/>
          <w:bCs/>
          <w:kern w:val="0"/>
          <w:sz w:val="28"/>
          <w:szCs w:val="28"/>
        </w:rPr>
        <w:t> </w:t>
      </w:r>
      <w:r>
        <w:rPr>
          <w:rFonts w:ascii="黑体" w:hAnsi="黑体" w:eastAsia="黑体" w:cs="黑体"/>
          <w:b/>
          <w:bCs/>
          <w:kern w:val="0"/>
          <w:sz w:val="30"/>
          <w:szCs w:val="30"/>
        </w:rPr>
        <w:t xml:space="preserve"> 十二、政府采购支出决算情况说明</w:t>
      </w:r>
    </w:p>
    <w:p w14:paraId="31585D86">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年度政府采购支出总额</w:t>
      </w:r>
      <w:r>
        <w:rPr>
          <w:rFonts w:ascii="times_new_roman" w:hAnsi="times_new_roman" w:eastAsia="times_new_roman" w:cs="times_new_roman"/>
          <w:kern w:val="0"/>
          <w:sz w:val="28"/>
          <w:szCs w:val="28"/>
          <w:u w:val="single"/>
        </w:rPr>
        <w:t xml:space="preserve"> 12.32</w:t>
      </w:r>
      <w:r>
        <w:rPr>
          <w:rFonts w:ascii="fang_song_gb2312" w:hAnsi="fang_song_gb2312" w:eastAsia="fang_song_gb2312" w:cs="fang_song_gb2312"/>
          <w:kern w:val="0"/>
          <w:sz w:val="28"/>
          <w:szCs w:val="28"/>
        </w:rPr>
        <w:t>万元，其中：政府采购货物支出</w:t>
      </w:r>
      <w:r>
        <w:rPr>
          <w:rFonts w:ascii="times_new_roman" w:hAnsi="times_new_roman" w:eastAsia="times_new_roman" w:cs="times_new_roman"/>
          <w:kern w:val="0"/>
          <w:sz w:val="28"/>
          <w:szCs w:val="28"/>
          <w:u w:val="single"/>
        </w:rPr>
        <w:t xml:space="preserve"> 12.32</w:t>
      </w:r>
      <w:r>
        <w:rPr>
          <w:rFonts w:ascii="fang_song_gb2312" w:hAnsi="fang_song_gb2312" w:eastAsia="fang_song_gb2312" w:cs="fang_song_gb2312"/>
          <w:kern w:val="0"/>
          <w:sz w:val="28"/>
          <w:szCs w:val="28"/>
        </w:rPr>
        <w:t>万元、政府采购工程支出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万元、政府采购服务支出</w:t>
      </w:r>
      <w:r>
        <w:rPr>
          <w:rFonts w:ascii="times_new_roman" w:hAnsi="times_new_roman" w:eastAsia="times_new_roman" w:cs="times_new_roman"/>
          <w:kern w:val="0"/>
          <w:sz w:val="28"/>
          <w:szCs w:val="28"/>
          <w:u w:val="single"/>
        </w:rPr>
        <w:t xml:space="preserve"> 0.00</w:t>
      </w:r>
      <w:r>
        <w:rPr>
          <w:rFonts w:ascii="fang_song_gb2312" w:hAnsi="fang_song_gb2312" w:eastAsia="fang_song_gb2312" w:cs="fang_song_gb2312"/>
          <w:kern w:val="0"/>
          <w:sz w:val="28"/>
          <w:szCs w:val="28"/>
        </w:rPr>
        <w:t>万元。政府采购授予中小企业合同金额</w:t>
      </w:r>
      <w:r>
        <w:rPr>
          <w:rFonts w:ascii="times_new_roman" w:hAnsi="times_new_roman" w:eastAsia="times_new_roman" w:cs="times_new_roman"/>
          <w:kern w:val="0"/>
          <w:sz w:val="28"/>
          <w:szCs w:val="28"/>
          <w:u w:val="single"/>
        </w:rPr>
        <w:t xml:space="preserve"> </w:t>
      </w:r>
      <w:r>
        <w:rPr>
          <w:rFonts w:hint="eastAsia" w:ascii="times_new_roman" w:hAnsi="times_new_roman" w:cs="times_new_roman"/>
          <w:kern w:val="0"/>
          <w:sz w:val="28"/>
          <w:szCs w:val="28"/>
          <w:u w:val="single"/>
          <w:lang w:val="en-US" w:eastAsia="zh-CN"/>
        </w:rPr>
        <w:t>12.32</w:t>
      </w:r>
      <w:r>
        <w:rPr>
          <w:rFonts w:ascii="fang_song_gb2312" w:hAnsi="fang_song_gb2312" w:eastAsia="fang_song_gb2312" w:cs="fang_song_gb2312"/>
          <w:kern w:val="0"/>
          <w:sz w:val="28"/>
          <w:szCs w:val="28"/>
        </w:rPr>
        <w:t>万元，占政府采购支出总额的</w:t>
      </w:r>
      <w:r>
        <w:rPr>
          <w:rFonts w:hint="eastAsia" w:ascii="fang_song_gb2312" w:hAnsi="fang_song_gb2312" w:cs="fang_song_gb2312"/>
          <w:kern w:val="0"/>
          <w:sz w:val="28"/>
          <w:szCs w:val="28"/>
          <w:lang w:val="en-US" w:eastAsia="zh-CN"/>
        </w:rPr>
        <w:t>100</w:t>
      </w:r>
      <w:r>
        <w:rPr>
          <w:rFonts w:ascii="fang_song_gb2312" w:hAnsi="fang_song_gb2312" w:eastAsia="fang_song_gb2312" w:cs="fang_song_gb2312"/>
          <w:kern w:val="0"/>
          <w:sz w:val="28"/>
          <w:szCs w:val="28"/>
        </w:rPr>
        <w:t>%，其中：授予小微企业合同金额</w:t>
      </w:r>
      <w:r>
        <w:rPr>
          <w:rFonts w:ascii="times_new_roman" w:hAnsi="times_new_roman" w:eastAsia="times_new_roman" w:cs="times_new_roman"/>
          <w:kern w:val="0"/>
          <w:sz w:val="28"/>
          <w:szCs w:val="28"/>
          <w:u w:val="single"/>
        </w:rPr>
        <w:t>  0.00</w:t>
      </w:r>
      <w:r>
        <w:rPr>
          <w:rFonts w:ascii="fang_song_gb2312" w:hAnsi="fang_song_gb2312" w:eastAsia="fang_song_gb2312" w:cs="fang_song_gb2312"/>
          <w:kern w:val="0"/>
          <w:sz w:val="28"/>
          <w:szCs w:val="28"/>
        </w:rPr>
        <w:t>万元，占政府采购支出总额的</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%；货物采购授予中小企业合同金额占货物支出金额的</w:t>
      </w:r>
      <w:r>
        <w:rPr>
          <w:rFonts w:hint="eastAsia" w:ascii="fang_song_gb2312" w:hAnsi="fang_song_gb2312" w:cs="fang_song_gb2312"/>
          <w:kern w:val="0"/>
          <w:sz w:val="28"/>
          <w:szCs w:val="28"/>
          <w:lang w:val="en-US" w:eastAsia="zh-CN"/>
        </w:rPr>
        <w:t>100</w:t>
      </w:r>
      <w:r>
        <w:rPr>
          <w:rFonts w:ascii="fang_song_gb2312" w:hAnsi="fang_song_gb2312" w:eastAsia="fang_song_gb2312" w:cs="fang_song_gb2312"/>
          <w:kern w:val="0"/>
          <w:sz w:val="28"/>
          <w:szCs w:val="28"/>
        </w:rPr>
        <w:t>%，工程采购授予中小企业合同金额占工程支出金额的</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%，服务采购授予中小企业合同金额占服务支出金额的</w:t>
      </w:r>
      <w:r>
        <w:rPr>
          <w:rFonts w:hint="eastAsia" w:ascii="times_new_roman" w:hAnsi="times_new_roman" w:cs="times_new_roman"/>
          <w:kern w:val="0"/>
          <w:sz w:val="28"/>
          <w:szCs w:val="28"/>
          <w:u w:val="single"/>
          <w:lang w:val="en-US" w:eastAsia="zh-CN"/>
        </w:rPr>
        <w:t>0</w:t>
      </w:r>
      <w:r>
        <w:rPr>
          <w:rFonts w:ascii="fang_song_gb2312" w:hAnsi="fang_song_gb2312" w:eastAsia="fang_song_gb2312" w:cs="fang_song_gb2312"/>
          <w:kern w:val="0"/>
          <w:sz w:val="28"/>
          <w:szCs w:val="28"/>
        </w:rPr>
        <w:t>%。</w:t>
      </w:r>
    </w:p>
    <w:p w14:paraId="0146E4C0">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color w:val="0E00FE"/>
          <w:kern w:val="0"/>
          <w:sz w:val="28"/>
          <w:szCs w:val="28"/>
        </w:rPr>
        <w:t xml:space="preserve">    </w:t>
      </w:r>
    </w:p>
    <w:p w14:paraId="6A1607E8">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30"/>
          <w:szCs w:val="30"/>
        </w:rPr>
        <w:t> </w:t>
      </w:r>
      <w:r>
        <w:rPr>
          <w:rFonts w:ascii="黑体" w:hAnsi="黑体" w:eastAsia="黑体" w:cs="黑体"/>
          <w:b/>
          <w:bCs/>
          <w:kern w:val="0"/>
          <w:sz w:val="30"/>
          <w:szCs w:val="30"/>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十三、国有资产占用情况说明</w:t>
      </w:r>
    </w:p>
    <w:p w14:paraId="05A83223">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内蒙古自治区呼和浩特市盲人按摩医院 截至</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w:t>
      </w:r>
      <w:r>
        <w:rPr>
          <w:rFonts w:ascii="times_new_roman" w:hAnsi="times_new_roman" w:eastAsia="times_new_roman" w:cs="times_new_roman"/>
          <w:kern w:val="0"/>
          <w:sz w:val="28"/>
          <w:szCs w:val="28"/>
        </w:rPr>
        <w:t>12</w:t>
      </w:r>
      <w:r>
        <w:rPr>
          <w:rFonts w:ascii="fang_song_gb2312" w:hAnsi="fang_song_gb2312" w:eastAsia="fang_song_gb2312" w:cs="fang_song_gb2312"/>
          <w:kern w:val="0"/>
          <w:sz w:val="28"/>
          <w:szCs w:val="28"/>
        </w:rPr>
        <w:t>月</w:t>
      </w:r>
      <w:r>
        <w:rPr>
          <w:rFonts w:ascii="times_new_roman" w:hAnsi="times_new_roman" w:eastAsia="times_new_roman" w:cs="times_new_roman"/>
          <w:kern w:val="0"/>
          <w:sz w:val="28"/>
          <w:szCs w:val="28"/>
        </w:rPr>
        <w:t>31</w:t>
      </w:r>
      <w:r>
        <w:rPr>
          <w:rFonts w:ascii="fang_song_gb2312" w:hAnsi="fang_song_gb2312" w:eastAsia="fang_song_gb2312" w:cs="fang_song_gb2312"/>
          <w:kern w:val="0"/>
          <w:sz w:val="28"/>
          <w:szCs w:val="28"/>
        </w:rPr>
        <w:t>日，本部门（单位）共有车辆</w:t>
      </w:r>
      <w:r>
        <w:rPr>
          <w:rFonts w:ascii="times_new_roman" w:hAnsi="times_new_roman" w:eastAsia="times_new_roman" w:cs="times_new_roman"/>
          <w:kern w:val="0"/>
          <w:sz w:val="28"/>
          <w:szCs w:val="28"/>
          <w:u w:val="single"/>
        </w:rPr>
        <w:t xml:space="preserve"> 1</w:t>
      </w:r>
      <w:r>
        <w:rPr>
          <w:rFonts w:ascii="fang_song_gb2312" w:hAnsi="fang_song_gb2312" w:eastAsia="fang_song_gb2312" w:cs="fang_song_gb2312"/>
          <w:kern w:val="0"/>
          <w:sz w:val="28"/>
          <w:szCs w:val="28"/>
        </w:rPr>
        <w:t>辆，其中：副部（省）级及以上领导用车</w:t>
      </w:r>
      <w:r>
        <w:rPr>
          <w:rFonts w:ascii="times_new_roman" w:hAnsi="times_new_roman" w:eastAsia="times_new_roman" w:cs="times_new_roman"/>
          <w:kern w:val="0"/>
          <w:sz w:val="28"/>
          <w:szCs w:val="28"/>
          <w:u w:val="single"/>
        </w:rPr>
        <w:t xml:space="preserve">0 </w:t>
      </w:r>
      <w:r>
        <w:rPr>
          <w:rFonts w:ascii="fang_song_gb2312" w:hAnsi="fang_song_gb2312" w:eastAsia="fang_song_gb2312" w:cs="fang_song_gb2312"/>
          <w:kern w:val="0"/>
          <w:sz w:val="28"/>
          <w:szCs w:val="28"/>
        </w:rPr>
        <w:t>辆、主要负责人用车</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辆、机要通信用车</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辆、应急保障用车</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辆、执法执勤用车</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辆、特种专业技术用车</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辆、离退休干部服务用车</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辆，其他用车</w:t>
      </w:r>
      <w:r>
        <w:rPr>
          <w:rFonts w:ascii="times_new_roman" w:hAnsi="times_new_roman" w:eastAsia="times_new_roman" w:cs="times_new_roman"/>
          <w:kern w:val="0"/>
          <w:sz w:val="28"/>
          <w:szCs w:val="28"/>
          <w:u w:val="single"/>
        </w:rPr>
        <w:t xml:space="preserve"> 1</w:t>
      </w:r>
      <w:r>
        <w:rPr>
          <w:rFonts w:ascii="fang_song_gb2312" w:hAnsi="fang_song_gb2312" w:eastAsia="fang_song_gb2312" w:cs="fang_song_gb2312"/>
          <w:kern w:val="0"/>
          <w:sz w:val="28"/>
          <w:szCs w:val="28"/>
        </w:rPr>
        <w:t>辆；单价100万元（含）以上的设备（不含车辆）</w:t>
      </w:r>
      <w:r>
        <w:rPr>
          <w:rFonts w:ascii="times_new_roman" w:hAnsi="times_new_roman" w:eastAsia="times_new_roman" w:cs="times_new_roman"/>
          <w:kern w:val="0"/>
          <w:sz w:val="28"/>
          <w:szCs w:val="28"/>
          <w:u w:val="single"/>
        </w:rPr>
        <w:t xml:space="preserve"> 0</w:t>
      </w:r>
      <w:r>
        <w:rPr>
          <w:rFonts w:ascii="fang_song_gb2312" w:hAnsi="fang_song_gb2312" w:eastAsia="fang_song_gb2312" w:cs="fang_song_gb2312"/>
          <w:kern w:val="0"/>
          <w:sz w:val="28"/>
          <w:szCs w:val="28"/>
        </w:rPr>
        <w:t>台（套）。</w:t>
      </w:r>
    </w:p>
    <w:p w14:paraId="0F0F972F">
      <w:pPr>
        <w:widowControl/>
        <w:spacing w:before="240" w:after="240"/>
        <w:jc w:val="left"/>
        <w:rPr>
          <w:rFonts w:ascii="Times New Roman" w:hAnsi="Times New Roman" w:eastAsia="Times New Roman" w:cs="Times New Roman"/>
          <w:kern w:val="0"/>
          <w:sz w:val="30"/>
          <w:szCs w:val="30"/>
        </w:rPr>
      </w:pPr>
      <w:r>
        <w:rPr>
          <w:rFonts w:ascii="Calibri" w:hAnsi="Calibri" w:eastAsia="Calibri" w:cs="Calibri"/>
          <w:b/>
          <w:bCs/>
          <w:kern w:val="0"/>
          <w:sz w:val="30"/>
          <w:szCs w:val="30"/>
        </w:rPr>
        <w:t> </w:t>
      </w:r>
      <w:r>
        <w:rPr>
          <w:rFonts w:ascii="黑体" w:hAnsi="黑体" w:eastAsia="黑体" w:cs="黑体"/>
          <w:b/>
          <w:bCs/>
          <w:kern w:val="0"/>
          <w:sz w:val="30"/>
          <w:szCs w:val="30"/>
        </w:rPr>
        <w:t xml:space="preserve"> </w:t>
      </w:r>
      <w:r>
        <w:rPr>
          <w:rFonts w:ascii="Calibri" w:hAnsi="Calibri" w:eastAsia="Calibri" w:cs="Calibri"/>
          <w:b/>
          <w:bCs/>
          <w:kern w:val="0"/>
          <w:sz w:val="30"/>
          <w:szCs w:val="30"/>
        </w:rPr>
        <w:t> </w:t>
      </w:r>
      <w:r>
        <w:rPr>
          <w:rFonts w:ascii="黑体" w:hAnsi="黑体" w:eastAsia="黑体" w:cs="黑体"/>
          <w:b/>
          <w:bCs/>
          <w:kern w:val="0"/>
          <w:sz w:val="30"/>
          <w:szCs w:val="30"/>
        </w:rPr>
        <w:t xml:space="preserve"> 十四、预算绩效情况说明</w:t>
      </w:r>
    </w:p>
    <w:p w14:paraId="29007825">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（一）预算绩效管理工作开展情况。</w:t>
      </w:r>
    </w:p>
    <w:p w14:paraId="688E6BC5">
      <w:pPr>
        <w:widowControl/>
        <w:spacing w:before="240" w:after="240"/>
        <w:ind w:firstLine="516"/>
        <w:rPr>
          <w:rFonts w:ascii="times_new_roman" w:hAnsi="times_new_roman" w:eastAsia="times_new_roman" w:cs="times_new_roman"/>
          <w:kern w:val="0"/>
          <w:sz w:val="28"/>
          <w:szCs w:val="28"/>
        </w:rPr>
      </w:pPr>
      <w:r>
        <w:rPr>
          <w:rFonts w:ascii="fang_song_gb2312" w:hAnsi="fang_song_gb2312" w:eastAsia="fang_song_gb2312" w:cs="fang_song_gb2312"/>
          <w:kern w:val="0"/>
          <w:sz w:val="28"/>
          <w:szCs w:val="28"/>
        </w:rPr>
        <w:t>内蒙古自治区呼和浩特市盲人按摩医院 根据预算绩效管理要求组织对</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年一般公共预算项目支出全面开展绩效自评，其中一级项目</w:t>
      </w:r>
      <w:r>
        <w:rPr>
          <w:rFonts w:hint="eastAsia" w:ascii="fang_song_gb2312" w:hAnsi="fang_song_gb2312" w:cs="fang_song_gb2312"/>
          <w:kern w:val="0"/>
          <w:sz w:val="28"/>
          <w:szCs w:val="28"/>
          <w:u w:val="single"/>
          <w:lang w:val="en-US" w:eastAsia="zh-CN"/>
        </w:rPr>
        <w:t>0</w:t>
      </w:r>
      <w:r>
        <w:rPr>
          <w:rFonts w:ascii="fang_song_gb2312" w:hAnsi="fang_song_gb2312" w:eastAsia="fang_song_gb2312" w:cs="fang_song_gb2312"/>
          <w:kern w:val="0"/>
          <w:sz w:val="28"/>
          <w:szCs w:val="28"/>
        </w:rPr>
        <w:t>个，二级项目</w:t>
      </w:r>
      <w:r>
        <w:rPr>
          <w:rFonts w:hint="eastAsia" w:ascii="fang_song_gb2312" w:hAnsi="fang_song_gb2312" w:cs="fang_song_gb2312"/>
          <w:kern w:val="0"/>
          <w:sz w:val="28"/>
          <w:szCs w:val="28"/>
          <w:u w:val="single"/>
          <w:lang w:val="en-US" w:eastAsia="zh-CN"/>
        </w:rPr>
        <w:t>3</w:t>
      </w:r>
      <w:r>
        <w:rPr>
          <w:rFonts w:ascii="fang_song_gb2312" w:hAnsi="fang_song_gb2312" w:eastAsia="fang_song_gb2312" w:cs="fang_song_gb2312"/>
          <w:kern w:val="0"/>
          <w:sz w:val="28"/>
          <w:szCs w:val="28"/>
        </w:rPr>
        <w:t>个，共涉及资金</w:t>
      </w:r>
      <w:r>
        <w:rPr>
          <w:rFonts w:hint="eastAsia" w:ascii="times_new_roman" w:hAnsi="times_new_roman" w:cs="times_new_roman"/>
          <w:kern w:val="0"/>
          <w:sz w:val="28"/>
          <w:szCs w:val="28"/>
          <w:u w:val="single"/>
          <w:lang w:val="en-US" w:eastAsia="zh-CN"/>
        </w:rPr>
        <w:t>22.9516</w:t>
      </w:r>
      <w:r>
        <w:rPr>
          <w:rFonts w:ascii="fang_song_gb2312" w:hAnsi="fang_song_gb2312" w:eastAsia="fang_song_gb2312" w:cs="fang_song_gb2312"/>
          <w:kern w:val="0"/>
          <w:sz w:val="28"/>
          <w:szCs w:val="28"/>
        </w:rPr>
        <w:t>万元，占一般公共预算项目支出总额的</w:t>
      </w:r>
      <w:r>
        <w:rPr>
          <w:rFonts w:ascii="times_new_roman" w:hAnsi="times_new_roman" w:eastAsia="times_new_roman" w:cs="times_new_roman"/>
          <w:kern w:val="0"/>
          <w:sz w:val="28"/>
          <w:szCs w:val="28"/>
        </w:rPr>
        <w:t>100</w:t>
      </w:r>
      <w:r>
        <w:rPr>
          <w:rFonts w:ascii="fang_song_gb2312" w:hAnsi="fang_song_gb2312" w:eastAsia="fang_song_gb2312" w:cs="fang_song_gb2312"/>
          <w:kern w:val="0"/>
          <w:sz w:val="28"/>
          <w:szCs w:val="28"/>
        </w:rPr>
        <w:t>%；政府性基金预算项目</w:t>
      </w:r>
      <w:r>
        <w:rPr>
          <w:rFonts w:hint="eastAsia" w:ascii="times_new_roman" w:hAnsi="times_new_roman" w:cs="times_new_roman"/>
          <w:kern w:val="0"/>
          <w:sz w:val="28"/>
          <w:szCs w:val="28"/>
          <w:u w:val="single"/>
          <w:lang w:val="en-US" w:eastAsia="zh-CN"/>
        </w:rPr>
        <w:t>5</w:t>
      </w:r>
      <w:r>
        <w:rPr>
          <w:rFonts w:ascii="fang_song_gb2312" w:hAnsi="fang_song_gb2312" w:eastAsia="fang_song_gb2312" w:cs="fang_song_gb2312"/>
          <w:kern w:val="0"/>
          <w:sz w:val="28"/>
          <w:szCs w:val="28"/>
        </w:rPr>
        <w:t>个，其中，一级项目</w:t>
      </w:r>
      <w:r>
        <w:rPr>
          <w:rFonts w:ascii="times_new_roman" w:hAnsi="times_new_roman" w:eastAsia="times_new_roman" w:cs="times_new_roman"/>
          <w:kern w:val="0"/>
          <w:sz w:val="28"/>
          <w:szCs w:val="28"/>
          <w:u w:val="single"/>
        </w:rPr>
        <w:t>  </w:t>
      </w:r>
      <w:r>
        <w:rPr>
          <w:rFonts w:hint="eastAsia" w:ascii="times_new_roman" w:hAnsi="times_new_roman" w:cs="times_new_roman"/>
          <w:kern w:val="0"/>
          <w:sz w:val="28"/>
          <w:szCs w:val="28"/>
          <w:u w:val="single"/>
          <w:lang w:val="en-US" w:eastAsia="zh-CN"/>
        </w:rPr>
        <w:t>0</w:t>
      </w:r>
      <w:r>
        <w:rPr>
          <w:rFonts w:ascii="times_new_roman" w:hAnsi="times_new_roman" w:eastAsia="times_new_roman" w:cs="times_new_roman"/>
          <w:kern w:val="0"/>
          <w:sz w:val="28"/>
          <w:szCs w:val="28"/>
          <w:u w:val="single"/>
        </w:rPr>
        <w:t>  </w:t>
      </w:r>
      <w:r>
        <w:rPr>
          <w:rFonts w:ascii="fang_song_gb2312" w:hAnsi="fang_song_gb2312" w:eastAsia="fang_song_gb2312" w:cs="fang_song_gb2312"/>
          <w:kern w:val="0"/>
          <w:sz w:val="28"/>
          <w:szCs w:val="28"/>
        </w:rPr>
        <w:t>个，二级项目</w:t>
      </w:r>
      <w:r>
        <w:rPr>
          <w:rFonts w:hint="eastAsia" w:ascii="times_new_roman" w:hAnsi="times_new_roman" w:cs="times_new_roman"/>
          <w:kern w:val="0"/>
          <w:sz w:val="28"/>
          <w:szCs w:val="28"/>
          <w:u w:val="single"/>
          <w:lang w:val="en-US" w:eastAsia="zh-CN"/>
        </w:rPr>
        <w:t>5</w:t>
      </w:r>
      <w:r>
        <w:rPr>
          <w:rFonts w:ascii="fang_song_gb2312" w:hAnsi="fang_song_gb2312" w:eastAsia="fang_song_gb2312" w:cs="fang_song_gb2312"/>
          <w:kern w:val="0"/>
          <w:sz w:val="28"/>
          <w:szCs w:val="28"/>
        </w:rPr>
        <w:t>个，共涉及资金</w:t>
      </w:r>
      <w:r>
        <w:rPr>
          <w:rFonts w:hint="eastAsia" w:ascii="times_new_roman" w:hAnsi="times_new_roman" w:cs="times_new_roman"/>
          <w:kern w:val="0"/>
          <w:sz w:val="28"/>
          <w:szCs w:val="28"/>
          <w:u w:val="single"/>
          <w:lang w:val="en-US" w:eastAsia="zh-CN"/>
        </w:rPr>
        <w:t>63.4996</w:t>
      </w:r>
      <w:r>
        <w:rPr>
          <w:rFonts w:ascii="fang_song_gb2312" w:hAnsi="fang_song_gb2312" w:eastAsia="fang_song_gb2312" w:cs="fang_song_gb2312"/>
          <w:kern w:val="0"/>
          <w:sz w:val="28"/>
          <w:szCs w:val="28"/>
        </w:rPr>
        <w:t>万元，占应纳入绩效自评的政府性基金预算项目支出总额的</w:t>
      </w:r>
      <w:r>
        <w:rPr>
          <w:rFonts w:ascii="times_new_roman" w:hAnsi="times_new_roman" w:eastAsia="times_new_roman" w:cs="times_new_roman"/>
          <w:kern w:val="0"/>
          <w:sz w:val="28"/>
          <w:szCs w:val="28"/>
        </w:rPr>
        <w:t>100%</w:t>
      </w:r>
    </w:p>
    <w:p w14:paraId="132CBD14">
      <w:pPr>
        <w:widowControl/>
        <w:spacing w:before="240" w:after="240"/>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组织对“</w:t>
      </w:r>
      <w:r>
        <w:rPr>
          <w:rFonts w:hint="eastAsia" w:ascii="fang_song_gb2312" w:hAnsi="fang_song_gb2312" w:cs="fang_song_gb2312"/>
          <w:kern w:val="0"/>
          <w:sz w:val="28"/>
          <w:szCs w:val="28"/>
          <w:lang w:val="en-US" w:eastAsia="zh-CN"/>
        </w:rPr>
        <w:t>取暖费</w:t>
      </w:r>
      <w:r>
        <w:rPr>
          <w:rFonts w:ascii="fang_song_gb2312" w:hAnsi="fang_song_gb2312" w:eastAsia="fang_song_gb2312" w:cs="fang_song_gb2312"/>
          <w:kern w:val="0"/>
          <w:sz w:val="28"/>
          <w:szCs w:val="28"/>
        </w:rPr>
        <w:t>项目”、“</w:t>
      </w:r>
      <w:r>
        <w:rPr>
          <w:rFonts w:hint="eastAsia" w:ascii="fang_song_gb2312" w:hAnsi="fang_song_gb2312" w:cs="fang_song_gb2312"/>
          <w:kern w:val="0"/>
          <w:sz w:val="28"/>
          <w:szCs w:val="28"/>
          <w:lang w:val="en-US" w:eastAsia="zh-CN"/>
        </w:rPr>
        <w:t>体检费</w:t>
      </w:r>
      <w:r>
        <w:rPr>
          <w:rFonts w:ascii="fang_song_gb2312" w:hAnsi="fang_song_gb2312" w:eastAsia="fang_song_gb2312" w:cs="fang_song_gb2312"/>
          <w:kern w:val="0"/>
          <w:sz w:val="28"/>
          <w:szCs w:val="28"/>
        </w:rPr>
        <w:t>项目”、“</w:t>
      </w:r>
      <w:r>
        <w:rPr>
          <w:rFonts w:hint="eastAsia" w:ascii="fang_song_gb2312" w:hAnsi="fang_song_gb2312" w:cs="fang_song_gb2312"/>
          <w:kern w:val="0"/>
          <w:sz w:val="28"/>
          <w:szCs w:val="28"/>
          <w:lang w:val="en-US" w:eastAsia="zh-CN"/>
        </w:rPr>
        <w:t>深化创新工作经费</w:t>
      </w:r>
      <w:r>
        <w:rPr>
          <w:rFonts w:ascii="fang_song_gb2312" w:hAnsi="fang_song_gb2312" w:eastAsia="fang_song_gb2312" w:cs="fang_song_gb2312"/>
          <w:kern w:val="0"/>
          <w:sz w:val="28"/>
          <w:szCs w:val="28"/>
        </w:rPr>
        <w:t>项目”等</w:t>
      </w:r>
      <w:r>
        <w:rPr>
          <w:rFonts w:ascii="fang_song_gb2312" w:hAnsi="fang_song_gb2312" w:eastAsia="fang_song_gb2312" w:cs="fang_song_gb2312"/>
          <w:kern w:val="0"/>
          <w:sz w:val="28"/>
          <w:szCs w:val="28"/>
          <w:u w:val="single"/>
        </w:rPr>
        <w:t>   </w:t>
      </w:r>
      <w:r>
        <w:rPr>
          <w:rFonts w:hint="eastAsia" w:ascii="fang_song_gb2312" w:hAnsi="fang_song_gb2312" w:cs="fang_song_gb2312"/>
          <w:kern w:val="0"/>
          <w:sz w:val="28"/>
          <w:szCs w:val="28"/>
          <w:u w:val="single"/>
          <w:lang w:val="en-US" w:eastAsia="zh-CN"/>
        </w:rPr>
        <w:t>8</w:t>
      </w:r>
      <w:r>
        <w:rPr>
          <w:rFonts w:ascii="fang_song_gb2312" w:hAnsi="fang_song_gb2312" w:eastAsia="fang_song_gb2312" w:cs="fang_song_gb2312"/>
          <w:kern w:val="0"/>
          <w:sz w:val="28"/>
          <w:szCs w:val="28"/>
          <w:u w:val="single"/>
        </w:rPr>
        <w:t> </w:t>
      </w:r>
      <w:r>
        <w:rPr>
          <w:rFonts w:ascii="fang_song_gb2312" w:hAnsi="fang_song_gb2312" w:eastAsia="fang_song_gb2312" w:cs="fang_song_gb2312"/>
          <w:kern w:val="0"/>
          <w:sz w:val="28"/>
          <w:szCs w:val="28"/>
        </w:rPr>
        <w:t>个项目开展了单位评价，涉及一般公共预算支出</w:t>
      </w:r>
      <w:r>
        <w:rPr>
          <w:rFonts w:hint="eastAsia" w:ascii="times_new_roman" w:hAnsi="times_new_roman" w:cs="times_new_roman"/>
          <w:kern w:val="0"/>
          <w:sz w:val="28"/>
          <w:szCs w:val="28"/>
          <w:u w:val="single"/>
          <w:lang w:val="en-US" w:eastAsia="zh-CN"/>
        </w:rPr>
        <w:t>22.9516</w:t>
      </w:r>
      <w:r>
        <w:rPr>
          <w:rFonts w:ascii="fang_song_gb2312" w:hAnsi="fang_song_gb2312" w:eastAsia="fang_song_gb2312" w:cs="fang_song_gb2312"/>
          <w:kern w:val="0"/>
          <w:sz w:val="28"/>
          <w:szCs w:val="28"/>
        </w:rPr>
        <w:t>万元，政府性基金支出</w:t>
      </w:r>
      <w:r>
        <w:rPr>
          <w:rFonts w:hint="eastAsia" w:ascii="times_new_roman" w:hAnsi="times_new_roman" w:cs="times_new_roman"/>
          <w:kern w:val="0"/>
          <w:sz w:val="28"/>
          <w:szCs w:val="28"/>
          <w:u w:val="single"/>
          <w:lang w:val="en-US" w:eastAsia="zh-CN"/>
        </w:rPr>
        <w:t>63.4996</w:t>
      </w:r>
      <w:r>
        <w:rPr>
          <w:rFonts w:ascii="fang_song_gb2312" w:hAnsi="fang_song_gb2312" w:eastAsia="fang_song_gb2312" w:cs="fang_song_gb2312"/>
          <w:kern w:val="0"/>
          <w:sz w:val="28"/>
          <w:szCs w:val="28"/>
        </w:rPr>
        <w:t>万元。</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委托相关第三方机构开展绩效评价。</w:t>
      </w:r>
    </w:p>
    <w:p w14:paraId="75BCD0DA">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（二）单位决算中项目绩效自评结果。</w:t>
      </w:r>
    </w:p>
    <w:p w14:paraId="189E3545">
      <w:pPr>
        <w:widowControl/>
        <w:spacing w:before="240" w:after="240" w:line="360" w:lineRule="auto"/>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xml:space="preserve">    内蒙古自治区呼和浩特市盲人按摩医院 </w:t>
      </w:r>
      <w:r>
        <w:rPr>
          <w:rFonts w:ascii="times_new_roman" w:hAnsi="times_new_roman" w:eastAsia="times_new_roman" w:cs="times_new_roman"/>
          <w:kern w:val="0"/>
          <w:sz w:val="28"/>
          <w:szCs w:val="28"/>
        </w:rPr>
        <w:t>2023</w:t>
      </w:r>
      <w:r>
        <w:rPr>
          <w:rFonts w:ascii="fang_song_gb2312" w:hAnsi="fang_song_gb2312" w:eastAsia="fang_song_gb2312" w:cs="fang_song_gb2312"/>
          <w:kern w:val="0"/>
          <w:sz w:val="28"/>
          <w:szCs w:val="28"/>
        </w:rPr>
        <w:t>年度在决算中反映</w:t>
      </w:r>
      <w:r>
        <w:rPr>
          <w:rFonts w:hint="eastAsia" w:ascii="fang_song_gb2312" w:hAnsi="fang_song_gb2312" w:cs="fang_song_gb2312"/>
          <w:kern w:val="0"/>
          <w:sz w:val="28"/>
          <w:szCs w:val="28"/>
          <w:u w:val="single"/>
          <w:lang w:val="en-US" w:eastAsia="zh-CN"/>
        </w:rPr>
        <w:t>3</w:t>
      </w:r>
      <w:r>
        <w:rPr>
          <w:rFonts w:ascii="fang_song_gb2312" w:hAnsi="fang_song_gb2312" w:eastAsia="fang_song_gb2312" w:cs="fang_song_gb2312"/>
          <w:kern w:val="0"/>
          <w:sz w:val="28"/>
          <w:szCs w:val="28"/>
        </w:rPr>
        <w:t>个一般公共预算项目，以及</w:t>
      </w:r>
      <w:r>
        <w:rPr>
          <w:rFonts w:hint="eastAsia" w:ascii="fang_song_gb2312" w:hAnsi="fang_song_gb2312" w:cs="fang_song_gb2312"/>
          <w:kern w:val="0"/>
          <w:sz w:val="28"/>
          <w:szCs w:val="28"/>
          <w:u w:val="single"/>
          <w:lang w:val="en-US" w:eastAsia="zh-CN"/>
        </w:rPr>
        <w:t>5</w:t>
      </w:r>
      <w:r>
        <w:rPr>
          <w:rFonts w:ascii="fang_song_gb2312" w:hAnsi="fang_song_gb2312" w:eastAsia="fang_song_gb2312" w:cs="fang_song_gb2312"/>
          <w:kern w:val="0"/>
          <w:sz w:val="28"/>
          <w:szCs w:val="28"/>
        </w:rPr>
        <w:t>个政府性基金项目， 共</w:t>
      </w:r>
      <w:r>
        <w:rPr>
          <w:rFonts w:hint="eastAsia" w:ascii="fang_song_gb2312" w:hAnsi="fang_song_gb2312" w:cs="fang_song_gb2312"/>
          <w:kern w:val="0"/>
          <w:sz w:val="28"/>
          <w:szCs w:val="28"/>
          <w:u w:val="single"/>
          <w:lang w:val="en-US" w:eastAsia="zh-CN"/>
        </w:rPr>
        <w:t>8</w:t>
      </w:r>
      <w:r>
        <w:rPr>
          <w:rFonts w:ascii="fang_song_gb2312" w:hAnsi="fang_song_gb2312" w:eastAsia="fang_song_gb2312" w:cs="fang_song_gb2312"/>
          <w:kern w:val="0"/>
          <w:sz w:val="28"/>
          <w:szCs w:val="28"/>
        </w:rPr>
        <w:t>个项目的绩效自评结果。</w:t>
      </w:r>
    </w:p>
    <w:p w14:paraId="78D5A8D3">
      <w:pPr>
        <w:spacing w:before="65" w:line="360" w:lineRule="auto"/>
        <w:ind w:left="23" w:firstLine="6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4"/>
          <w:sz w:val="28"/>
          <w:szCs w:val="28"/>
        </w:rPr>
        <w:t>1、取暖费项目</w:t>
      </w:r>
      <w:r>
        <w:rPr>
          <w:rFonts w:hint="eastAsia" w:asciiTheme="minorEastAsia" w:hAnsiTheme="minorEastAsia" w:eastAsiaTheme="minorEastAsia" w:cstheme="minorEastAsia"/>
          <w:spacing w:val="-50"/>
          <w:sz w:val="28"/>
          <w:szCs w:val="28"/>
        </w:rPr>
        <w:t xml:space="preserve"> </w:t>
      </w:r>
      <w:r>
        <w:rPr>
          <w:rFonts w:hint="eastAsia" w:asciiTheme="minorEastAsia" w:hAnsiTheme="minorEastAsia" w:eastAsiaTheme="minorEastAsia" w:cstheme="minorEastAsia"/>
          <w:spacing w:val="14"/>
          <w:sz w:val="28"/>
          <w:szCs w:val="28"/>
        </w:rPr>
        <w:t>自评综述 ：根据年初设定的绩效目标，</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7"/>
          <w:sz w:val="28"/>
          <w:szCs w:val="28"/>
        </w:rPr>
        <w:t>项目</w:t>
      </w:r>
      <w:r>
        <w:rPr>
          <w:rFonts w:hint="eastAsia" w:asciiTheme="minorEastAsia" w:hAnsiTheme="minorEastAsia" w:eastAsiaTheme="minorEastAsia" w:cstheme="minorEastAsia"/>
          <w:spacing w:val="-74"/>
          <w:sz w:val="28"/>
          <w:szCs w:val="28"/>
        </w:rPr>
        <w:t xml:space="preserve"> </w:t>
      </w:r>
      <w:r>
        <w:rPr>
          <w:rFonts w:hint="eastAsia" w:asciiTheme="minorEastAsia" w:hAnsiTheme="minorEastAsia" w:eastAsiaTheme="minorEastAsia" w:cstheme="minorEastAsia"/>
          <w:spacing w:val="-7"/>
          <w:sz w:val="28"/>
          <w:szCs w:val="28"/>
        </w:rPr>
        <w:t>自评得分 100</w:t>
      </w:r>
      <w:r>
        <w:rPr>
          <w:rFonts w:hint="eastAsia" w:asciiTheme="minorEastAsia" w:hAnsiTheme="minorEastAsia" w:eastAsiaTheme="minorEastAsia" w:cstheme="minorEastAsia"/>
          <w:spacing w:val="-31"/>
          <w:sz w:val="28"/>
          <w:szCs w:val="28"/>
        </w:rPr>
        <w:t xml:space="preserve"> </w:t>
      </w:r>
      <w:r>
        <w:rPr>
          <w:rFonts w:hint="eastAsia" w:asciiTheme="minorEastAsia" w:hAnsiTheme="minorEastAsia" w:eastAsiaTheme="minorEastAsia" w:cstheme="minorEastAsia"/>
          <w:spacing w:val="-7"/>
          <w:sz w:val="28"/>
          <w:szCs w:val="28"/>
        </w:rPr>
        <w:t>分</w:t>
      </w:r>
      <w:r>
        <w:rPr>
          <w:rFonts w:hint="eastAsia" w:asciiTheme="minorEastAsia" w:hAnsiTheme="minorEastAsia" w:eastAsiaTheme="minorEastAsia" w:cstheme="minorEastAsia"/>
          <w:spacing w:val="40"/>
          <w:sz w:val="28"/>
          <w:szCs w:val="28"/>
        </w:rPr>
        <w:t xml:space="preserve"> </w:t>
      </w:r>
      <w:r>
        <w:rPr>
          <w:rFonts w:hint="eastAsia" w:asciiTheme="minorEastAsia" w:hAnsiTheme="minorEastAsia" w:eastAsiaTheme="minorEastAsia" w:cstheme="minorEastAsia"/>
          <w:spacing w:val="-7"/>
          <w:sz w:val="28"/>
          <w:szCs w:val="28"/>
        </w:rPr>
        <w:t>。全年预算数为</w:t>
      </w:r>
      <w:r>
        <w:rPr>
          <w:rFonts w:hint="eastAsia" w:asciiTheme="minorEastAsia" w:hAnsiTheme="minorEastAsia" w:eastAsiaTheme="minorEastAsia" w:cstheme="minorEastAsia"/>
          <w:spacing w:val="-45"/>
          <w:sz w:val="28"/>
          <w:szCs w:val="28"/>
        </w:rPr>
        <w:t xml:space="preserve"> </w:t>
      </w:r>
      <w:r>
        <w:rPr>
          <w:rFonts w:hint="eastAsia" w:asciiTheme="minorEastAsia" w:hAnsiTheme="minorEastAsia" w:eastAsiaTheme="minorEastAsia" w:cstheme="minorEastAsia"/>
          <w:spacing w:val="-7"/>
          <w:sz w:val="28"/>
          <w:szCs w:val="28"/>
        </w:rPr>
        <w:t>5.1</w:t>
      </w:r>
      <w:r>
        <w:rPr>
          <w:rFonts w:hint="eastAsia" w:asciiTheme="minorEastAsia" w:hAnsiTheme="minorEastAsia" w:eastAsiaTheme="minorEastAsia" w:cstheme="minorEastAsia"/>
          <w:spacing w:val="-7"/>
          <w:sz w:val="28"/>
          <w:szCs w:val="28"/>
          <w:lang w:val="en-US" w:eastAsia="zh-CN"/>
        </w:rPr>
        <w:t>3</w:t>
      </w:r>
      <w:r>
        <w:rPr>
          <w:rFonts w:hint="eastAsia" w:asciiTheme="minorEastAsia" w:hAnsiTheme="minorEastAsia" w:eastAsiaTheme="minorEastAsia" w:cstheme="minorEastAsia"/>
          <w:spacing w:val="-7"/>
          <w:sz w:val="28"/>
          <w:szCs w:val="28"/>
        </w:rPr>
        <w:t xml:space="preserve"> 万元</w:t>
      </w:r>
      <w:r>
        <w:rPr>
          <w:rFonts w:hint="eastAsia" w:asciiTheme="minorEastAsia" w:hAnsiTheme="minorEastAsia" w:eastAsiaTheme="minorEastAsia" w:cstheme="minorEastAsia"/>
          <w:spacing w:val="89"/>
          <w:sz w:val="28"/>
          <w:szCs w:val="28"/>
        </w:rPr>
        <w:t xml:space="preserve"> </w:t>
      </w:r>
      <w:r>
        <w:rPr>
          <w:rFonts w:hint="eastAsia" w:asciiTheme="minorEastAsia" w:hAnsiTheme="minorEastAsia" w:eastAsiaTheme="minorEastAsia" w:cstheme="minorEastAsia"/>
          <w:spacing w:val="-7"/>
          <w:sz w:val="28"/>
          <w:szCs w:val="28"/>
        </w:rPr>
        <w:t>，执行数为</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1"/>
          <w:sz w:val="28"/>
          <w:szCs w:val="28"/>
        </w:rPr>
        <w:t>5.1</w:t>
      </w:r>
      <w:r>
        <w:rPr>
          <w:rFonts w:hint="eastAsia" w:asciiTheme="minorEastAsia" w:hAnsiTheme="minorEastAsia" w:eastAsiaTheme="minorEastAsia" w:cstheme="minorEastAsia"/>
          <w:spacing w:val="11"/>
          <w:sz w:val="28"/>
          <w:szCs w:val="28"/>
          <w:lang w:val="en-US" w:eastAsia="zh-CN"/>
        </w:rPr>
        <w:t>3</w:t>
      </w:r>
      <w:r>
        <w:rPr>
          <w:rFonts w:hint="eastAsia" w:asciiTheme="minorEastAsia" w:hAnsiTheme="minorEastAsia" w:eastAsiaTheme="minorEastAsia" w:cstheme="minorEastAsia"/>
          <w:spacing w:val="11"/>
          <w:sz w:val="28"/>
          <w:szCs w:val="28"/>
        </w:rPr>
        <w:t xml:space="preserve"> 万元，完成预算的100%。项目绩效目标完成情况：项目</w:t>
      </w:r>
      <w:r>
        <w:rPr>
          <w:rFonts w:hint="eastAsia" w:asciiTheme="minorEastAsia" w:hAnsiTheme="minorEastAsia" w:eastAsiaTheme="minorEastAsia" w:cstheme="minorEastAsia"/>
          <w:spacing w:val="19"/>
          <w:sz w:val="28"/>
          <w:szCs w:val="28"/>
        </w:rPr>
        <w:t>绩效目标全部完成，保障办公场所供暖，满足院内</w:t>
      </w:r>
      <w:r>
        <w:rPr>
          <w:rFonts w:hint="eastAsia" w:asciiTheme="minorEastAsia" w:hAnsiTheme="minorEastAsia" w:eastAsiaTheme="minorEastAsia" w:cstheme="minorEastAsia"/>
          <w:spacing w:val="18"/>
          <w:sz w:val="28"/>
          <w:szCs w:val="28"/>
        </w:rPr>
        <w:t>人员供暖</w:t>
      </w:r>
      <w:r>
        <w:rPr>
          <w:rFonts w:hint="eastAsia" w:asciiTheme="minorEastAsia" w:hAnsiTheme="minorEastAsia" w:eastAsiaTheme="minorEastAsia" w:cstheme="minorEastAsia"/>
          <w:spacing w:val="13"/>
          <w:sz w:val="28"/>
          <w:szCs w:val="28"/>
        </w:rPr>
        <w:t>需求和提高人民满意度，取得良好的社会效益</w:t>
      </w:r>
      <w:r>
        <w:rPr>
          <w:rFonts w:hint="eastAsia" w:asciiTheme="minorEastAsia" w:hAnsiTheme="minorEastAsia" w:eastAsiaTheme="minorEastAsia" w:cstheme="minorEastAsia"/>
          <w:spacing w:val="-31"/>
          <w:sz w:val="28"/>
          <w:szCs w:val="28"/>
        </w:rPr>
        <w:t xml:space="preserve"> </w:t>
      </w:r>
      <w:r>
        <w:rPr>
          <w:rFonts w:hint="eastAsia" w:asciiTheme="minorEastAsia" w:hAnsiTheme="minorEastAsia" w:eastAsiaTheme="minorEastAsia" w:cstheme="minorEastAsia"/>
          <w:spacing w:val="13"/>
          <w:sz w:val="28"/>
          <w:szCs w:val="28"/>
        </w:rPr>
        <w:t>，</w:t>
      </w:r>
      <w:r>
        <w:rPr>
          <w:rFonts w:hint="eastAsia" w:asciiTheme="minorEastAsia" w:hAnsiTheme="minorEastAsia" w:eastAsiaTheme="minorEastAsia" w:cstheme="minorEastAsia"/>
          <w:spacing w:val="-82"/>
          <w:sz w:val="28"/>
          <w:szCs w:val="28"/>
        </w:rPr>
        <w:t xml:space="preserve"> </w:t>
      </w:r>
      <w:r>
        <w:rPr>
          <w:rFonts w:hint="eastAsia" w:asciiTheme="minorEastAsia" w:hAnsiTheme="minorEastAsia" w:eastAsiaTheme="minorEastAsia" w:cstheme="minorEastAsia"/>
          <w:spacing w:val="12"/>
          <w:sz w:val="28"/>
          <w:szCs w:val="28"/>
        </w:rPr>
        <w:t>圆满的完</w:t>
      </w:r>
      <w:r>
        <w:rPr>
          <w:rFonts w:hint="eastAsia" w:asciiTheme="minorEastAsia" w:hAnsiTheme="minorEastAsia" w:eastAsiaTheme="minorEastAsia" w:cstheme="minorEastAsia"/>
          <w:spacing w:val="19"/>
          <w:sz w:val="28"/>
          <w:szCs w:val="28"/>
        </w:rPr>
        <w:t>成了各项指标任务，得到了全员职工患者的好评。</w:t>
      </w:r>
      <w:r>
        <w:rPr>
          <w:rFonts w:hint="eastAsia" w:asciiTheme="minorEastAsia" w:hAnsiTheme="minorEastAsia" w:eastAsiaTheme="minorEastAsia" w:cstheme="minorEastAsia"/>
          <w:spacing w:val="18"/>
          <w:sz w:val="28"/>
          <w:szCs w:val="28"/>
        </w:rPr>
        <w:t>发现的主</w:t>
      </w:r>
      <w:r>
        <w:rPr>
          <w:rFonts w:hint="eastAsia" w:asciiTheme="minorEastAsia" w:hAnsiTheme="minorEastAsia" w:eastAsiaTheme="minorEastAsia" w:cstheme="minorEastAsia"/>
          <w:spacing w:val="19"/>
          <w:sz w:val="28"/>
          <w:szCs w:val="28"/>
        </w:rPr>
        <w:t>要问题和原因：项目绩效目标不够细化、量化。下</w:t>
      </w:r>
      <w:r>
        <w:rPr>
          <w:rFonts w:hint="eastAsia" w:asciiTheme="minorEastAsia" w:hAnsiTheme="minorEastAsia" w:eastAsiaTheme="minorEastAsia" w:cstheme="minorEastAsia"/>
          <w:spacing w:val="18"/>
          <w:sz w:val="28"/>
          <w:szCs w:val="28"/>
        </w:rPr>
        <w:t>一步改进</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6"/>
          <w:sz w:val="28"/>
          <w:szCs w:val="28"/>
        </w:rPr>
        <w:t>措施：进一步做的绩效目标明确、细化、量化。</w:t>
      </w:r>
    </w:p>
    <w:p w14:paraId="6BAA847E">
      <w:pPr>
        <w:spacing w:before="192" w:line="367" w:lineRule="auto"/>
        <w:ind w:left="23" w:right="9"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3"/>
          <w:sz w:val="28"/>
          <w:szCs w:val="28"/>
        </w:rPr>
        <w:t>2</w:t>
      </w:r>
      <w:r>
        <w:rPr>
          <w:rFonts w:hint="eastAsia" w:asciiTheme="minorEastAsia" w:hAnsiTheme="minorEastAsia" w:eastAsiaTheme="minorEastAsia" w:cstheme="minorEastAsia"/>
          <w:spacing w:val="67"/>
          <w:sz w:val="28"/>
          <w:szCs w:val="28"/>
        </w:rPr>
        <w:t xml:space="preserve"> </w:t>
      </w:r>
      <w:r>
        <w:rPr>
          <w:rFonts w:hint="eastAsia" w:asciiTheme="minorEastAsia" w:hAnsiTheme="minorEastAsia" w:eastAsiaTheme="minorEastAsia" w:cstheme="minorEastAsia"/>
          <w:spacing w:val="13"/>
          <w:sz w:val="28"/>
          <w:szCs w:val="28"/>
        </w:rPr>
        <w:t>、体检费项目</w:t>
      </w:r>
      <w:r>
        <w:rPr>
          <w:rFonts w:hint="eastAsia" w:asciiTheme="minorEastAsia" w:hAnsiTheme="minorEastAsia" w:eastAsiaTheme="minorEastAsia" w:cstheme="minorEastAsia"/>
          <w:spacing w:val="-64"/>
          <w:sz w:val="28"/>
          <w:szCs w:val="28"/>
        </w:rPr>
        <w:t xml:space="preserve"> </w:t>
      </w:r>
      <w:r>
        <w:rPr>
          <w:rFonts w:hint="eastAsia" w:asciiTheme="minorEastAsia" w:hAnsiTheme="minorEastAsia" w:eastAsiaTheme="minorEastAsia" w:cstheme="minorEastAsia"/>
          <w:spacing w:val="13"/>
          <w:sz w:val="28"/>
          <w:szCs w:val="28"/>
        </w:rPr>
        <w:t>自评综述：根据年初设定的绩效</w:t>
      </w:r>
      <w:r>
        <w:rPr>
          <w:rFonts w:hint="eastAsia" w:asciiTheme="minorEastAsia" w:hAnsiTheme="minorEastAsia" w:eastAsiaTheme="minorEastAsia" w:cstheme="minorEastAsia"/>
          <w:spacing w:val="12"/>
          <w:sz w:val="28"/>
          <w:szCs w:val="28"/>
        </w:rPr>
        <w:t>目标，</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3"/>
          <w:sz w:val="28"/>
          <w:szCs w:val="28"/>
        </w:rPr>
        <w:t xml:space="preserve">项目  自评得分 </w:t>
      </w:r>
      <w:r>
        <w:rPr>
          <w:rFonts w:hint="eastAsia" w:asciiTheme="minorEastAsia" w:hAnsiTheme="minorEastAsia" w:eastAsiaTheme="minorEastAsia" w:cstheme="minorEastAsia"/>
          <w:spacing w:val="3"/>
          <w:sz w:val="28"/>
          <w:szCs w:val="28"/>
          <w:lang w:val="en-US" w:eastAsia="zh-CN"/>
        </w:rPr>
        <w:t>98.21</w:t>
      </w:r>
      <w:r>
        <w:rPr>
          <w:rFonts w:hint="eastAsia" w:asciiTheme="minorEastAsia" w:hAnsiTheme="minorEastAsia" w:eastAsiaTheme="minorEastAsia" w:cstheme="minorEastAsia"/>
          <w:spacing w:val="3"/>
          <w:sz w:val="28"/>
          <w:szCs w:val="28"/>
        </w:rPr>
        <w:t xml:space="preserve"> 分。全年预算数为</w:t>
      </w:r>
      <w:r>
        <w:rPr>
          <w:rFonts w:hint="eastAsia" w:asciiTheme="minorEastAsia" w:hAnsiTheme="minorEastAsia" w:eastAsiaTheme="minorEastAsia" w:cstheme="minorEastAsia"/>
          <w:spacing w:val="-7"/>
          <w:sz w:val="28"/>
          <w:szCs w:val="28"/>
        </w:rPr>
        <w:t xml:space="preserve"> </w:t>
      </w:r>
      <w:r>
        <w:rPr>
          <w:rFonts w:hint="eastAsia" w:asciiTheme="minorEastAsia" w:hAnsiTheme="minorEastAsia" w:eastAsiaTheme="minorEastAsia" w:cstheme="minorEastAsia"/>
          <w:spacing w:val="3"/>
          <w:sz w:val="28"/>
          <w:szCs w:val="28"/>
        </w:rPr>
        <w:t>5.</w:t>
      </w:r>
      <w:r>
        <w:rPr>
          <w:rFonts w:hint="eastAsia" w:asciiTheme="minorEastAsia" w:hAnsiTheme="minorEastAsia" w:eastAsiaTheme="minorEastAsia" w:cstheme="minorEastAsia"/>
          <w:spacing w:val="3"/>
          <w:sz w:val="28"/>
          <w:szCs w:val="28"/>
          <w:lang w:val="en-US" w:eastAsia="zh-CN"/>
        </w:rPr>
        <w:t>6</w:t>
      </w:r>
      <w:r>
        <w:rPr>
          <w:rFonts w:hint="eastAsia" w:asciiTheme="minorEastAsia" w:hAnsiTheme="minorEastAsia" w:eastAsiaTheme="minorEastAsia" w:cstheme="minorEastAsia"/>
          <w:spacing w:val="3"/>
          <w:sz w:val="28"/>
          <w:szCs w:val="28"/>
        </w:rPr>
        <w:t xml:space="preserve"> 万元</w:t>
      </w:r>
      <w:r>
        <w:rPr>
          <w:rFonts w:hint="eastAsia" w:asciiTheme="minorEastAsia" w:hAnsiTheme="minorEastAsia" w:eastAsiaTheme="minorEastAsia" w:cstheme="minorEastAsia"/>
          <w:spacing w:val="-36"/>
          <w:sz w:val="28"/>
          <w:szCs w:val="28"/>
        </w:rPr>
        <w:t xml:space="preserve"> </w:t>
      </w:r>
      <w:r>
        <w:rPr>
          <w:rFonts w:hint="eastAsia" w:asciiTheme="minorEastAsia" w:hAnsiTheme="minorEastAsia" w:eastAsiaTheme="minorEastAsia" w:cstheme="minorEastAsia"/>
          <w:spacing w:val="3"/>
          <w:sz w:val="28"/>
          <w:szCs w:val="28"/>
        </w:rPr>
        <w:t>，执行数为</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7"/>
          <w:sz w:val="28"/>
          <w:szCs w:val="28"/>
        </w:rPr>
        <w:t>5.</w:t>
      </w:r>
      <w:r>
        <w:rPr>
          <w:rFonts w:hint="eastAsia" w:asciiTheme="minorEastAsia" w:hAnsiTheme="minorEastAsia" w:eastAsiaTheme="minorEastAsia" w:cstheme="minorEastAsia"/>
          <w:spacing w:val="7"/>
          <w:sz w:val="28"/>
          <w:szCs w:val="28"/>
          <w:lang w:val="en-US" w:eastAsia="zh-CN"/>
        </w:rPr>
        <w:t>5</w:t>
      </w:r>
      <w:r>
        <w:rPr>
          <w:rFonts w:hint="eastAsia" w:asciiTheme="minorEastAsia" w:hAnsiTheme="minorEastAsia" w:eastAsiaTheme="minorEastAsia" w:cstheme="minorEastAsia"/>
          <w:spacing w:val="7"/>
          <w:sz w:val="28"/>
          <w:szCs w:val="28"/>
        </w:rPr>
        <w:t xml:space="preserve"> 万元</w:t>
      </w:r>
      <w:r>
        <w:rPr>
          <w:rFonts w:hint="eastAsia" w:asciiTheme="minorEastAsia" w:hAnsiTheme="minorEastAsia" w:eastAsiaTheme="minorEastAsia" w:cstheme="minorEastAsia"/>
          <w:spacing w:val="-31"/>
          <w:sz w:val="28"/>
          <w:szCs w:val="28"/>
        </w:rPr>
        <w:t xml:space="preserve"> </w:t>
      </w:r>
      <w:r>
        <w:rPr>
          <w:rFonts w:hint="eastAsia" w:asciiTheme="minorEastAsia" w:hAnsiTheme="minorEastAsia" w:eastAsiaTheme="minorEastAsia" w:cstheme="minorEastAsia"/>
          <w:spacing w:val="7"/>
          <w:sz w:val="28"/>
          <w:szCs w:val="28"/>
        </w:rPr>
        <w:t>，完成预算的</w:t>
      </w:r>
      <w:r>
        <w:rPr>
          <w:rFonts w:hint="eastAsia" w:asciiTheme="minorEastAsia" w:hAnsiTheme="minorEastAsia" w:eastAsiaTheme="minorEastAsia" w:cstheme="minorEastAsia"/>
          <w:spacing w:val="7"/>
          <w:sz w:val="28"/>
          <w:szCs w:val="28"/>
          <w:lang w:val="en-US" w:eastAsia="zh-CN"/>
        </w:rPr>
        <w:t>98.21</w:t>
      </w:r>
      <w:r>
        <w:rPr>
          <w:rFonts w:hint="eastAsia" w:asciiTheme="minorEastAsia" w:hAnsiTheme="minorEastAsia" w:eastAsiaTheme="minorEastAsia" w:cstheme="minorEastAsia"/>
          <w:spacing w:val="7"/>
          <w:sz w:val="28"/>
          <w:szCs w:val="28"/>
        </w:rPr>
        <w:t>%。项目绩效目标完成情况</w:t>
      </w:r>
      <w:r>
        <w:rPr>
          <w:rFonts w:hint="eastAsia" w:asciiTheme="minorEastAsia" w:hAnsiTheme="minorEastAsia" w:eastAsiaTheme="minorEastAsia" w:cstheme="minorEastAsia"/>
          <w:spacing w:val="-30"/>
          <w:sz w:val="28"/>
          <w:szCs w:val="28"/>
        </w:rPr>
        <w:t xml:space="preserve"> </w:t>
      </w:r>
      <w:r>
        <w:rPr>
          <w:rFonts w:hint="eastAsia" w:asciiTheme="minorEastAsia" w:hAnsiTheme="minorEastAsia" w:eastAsiaTheme="minorEastAsia" w:cstheme="minorEastAsia"/>
          <w:spacing w:val="7"/>
          <w:sz w:val="28"/>
          <w:szCs w:val="28"/>
        </w:rPr>
        <w:t>：绩</w:t>
      </w:r>
      <w:r>
        <w:rPr>
          <w:rFonts w:hint="eastAsia" w:asciiTheme="minorEastAsia" w:hAnsiTheme="minorEastAsia" w:eastAsiaTheme="minorEastAsia" w:cstheme="minorEastAsia"/>
          <w:spacing w:val="19"/>
          <w:sz w:val="28"/>
          <w:szCs w:val="28"/>
        </w:rPr>
        <w:t>效目标全部完成，为在职、离退休职工提供保障，</w:t>
      </w:r>
      <w:r>
        <w:rPr>
          <w:rFonts w:hint="eastAsia" w:asciiTheme="minorEastAsia" w:hAnsiTheme="minorEastAsia" w:eastAsiaTheme="minorEastAsia" w:cstheme="minorEastAsia"/>
          <w:spacing w:val="18"/>
          <w:sz w:val="28"/>
          <w:szCs w:val="28"/>
        </w:rPr>
        <w:t>提高职工</w:t>
      </w:r>
      <w:r>
        <w:rPr>
          <w:rFonts w:hint="eastAsia" w:asciiTheme="minorEastAsia" w:hAnsiTheme="minorEastAsia" w:eastAsiaTheme="minorEastAsia" w:cstheme="minorEastAsia"/>
          <w:spacing w:val="14"/>
          <w:sz w:val="28"/>
          <w:szCs w:val="28"/>
        </w:rPr>
        <w:t>满意度</w:t>
      </w:r>
      <w:r>
        <w:rPr>
          <w:rFonts w:hint="eastAsia" w:asciiTheme="minorEastAsia" w:hAnsiTheme="minorEastAsia" w:eastAsiaTheme="minorEastAsia" w:cstheme="minorEastAsia"/>
          <w:spacing w:val="-26"/>
          <w:sz w:val="28"/>
          <w:szCs w:val="28"/>
        </w:rPr>
        <w:t xml:space="preserve"> </w:t>
      </w:r>
      <w:r>
        <w:rPr>
          <w:rFonts w:hint="eastAsia" w:asciiTheme="minorEastAsia" w:hAnsiTheme="minorEastAsia" w:eastAsiaTheme="minorEastAsia" w:cstheme="minorEastAsia"/>
          <w:spacing w:val="14"/>
          <w:sz w:val="28"/>
          <w:szCs w:val="28"/>
        </w:rPr>
        <w:t>，更好的为人民健康提供服务</w:t>
      </w:r>
      <w:r>
        <w:rPr>
          <w:rFonts w:hint="eastAsia" w:asciiTheme="minorEastAsia" w:hAnsiTheme="minorEastAsia" w:eastAsiaTheme="minorEastAsia" w:cstheme="minorEastAsia"/>
          <w:spacing w:val="-34"/>
          <w:sz w:val="28"/>
          <w:szCs w:val="28"/>
        </w:rPr>
        <w:t xml:space="preserve"> </w:t>
      </w:r>
      <w:r>
        <w:rPr>
          <w:rFonts w:hint="eastAsia" w:asciiTheme="minorEastAsia" w:hAnsiTheme="minorEastAsia" w:eastAsiaTheme="minorEastAsia" w:cstheme="minorEastAsia"/>
          <w:spacing w:val="14"/>
          <w:sz w:val="28"/>
          <w:szCs w:val="28"/>
        </w:rPr>
        <w:t>，取得</w:t>
      </w:r>
      <w:r>
        <w:rPr>
          <w:rFonts w:hint="eastAsia" w:asciiTheme="minorEastAsia" w:hAnsiTheme="minorEastAsia" w:eastAsiaTheme="minorEastAsia" w:cstheme="minorEastAsia"/>
          <w:spacing w:val="13"/>
          <w:sz w:val="28"/>
          <w:szCs w:val="28"/>
        </w:rPr>
        <w:t>了良好社会效</w:t>
      </w:r>
      <w:r>
        <w:rPr>
          <w:rFonts w:hint="eastAsia" w:asciiTheme="minorEastAsia" w:hAnsiTheme="minorEastAsia" w:eastAsiaTheme="minorEastAsia" w:cstheme="minorEastAsia"/>
          <w:spacing w:val="11"/>
          <w:sz w:val="28"/>
          <w:szCs w:val="28"/>
        </w:rPr>
        <w:t>益</w:t>
      </w:r>
      <w:r>
        <w:rPr>
          <w:rFonts w:hint="eastAsia" w:asciiTheme="minorEastAsia" w:hAnsiTheme="minorEastAsia" w:eastAsiaTheme="minorEastAsia" w:cstheme="minorEastAsia"/>
          <w:spacing w:val="-12"/>
          <w:sz w:val="28"/>
          <w:szCs w:val="28"/>
        </w:rPr>
        <w:t xml:space="preserve"> </w:t>
      </w:r>
      <w:r>
        <w:rPr>
          <w:rFonts w:hint="eastAsia" w:asciiTheme="minorEastAsia" w:hAnsiTheme="minorEastAsia" w:eastAsiaTheme="minorEastAsia" w:cstheme="minorEastAsia"/>
          <w:spacing w:val="11"/>
          <w:sz w:val="28"/>
          <w:szCs w:val="28"/>
        </w:rPr>
        <w:t>，</w:t>
      </w:r>
      <w:r>
        <w:rPr>
          <w:rFonts w:hint="eastAsia" w:asciiTheme="minorEastAsia" w:hAnsiTheme="minorEastAsia" w:eastAsiaTheme="minorEastAsia" w:cstheme="minorEastAsia"/>
          <w:spacing w:val="-82"/>
          <w:sz w:val="28"/>
          <w:szCs w:val="28"/>
        </w:rPr>
        <w:t xml:space="preserve"> </w:t>
      </w:r>
      <w:r>
        <w:rPr>
          <w:rFonts w:hint="eastAsia" w:asciiTheme="minorEastAsia" w:hAnsiTheme="minorEastAsia" w:eastAsiaTheme="minorEastAsia" w:cstheme="minorEastAsia"/>
          <w:spacing w:val="11"/>
          <w:sz w:val="28"/>
          <w:szCs w:val="28"/>
        </w:rPr>
        <w:t>圆满完成了各项指标任务</w:t>
      </w:r>
      <w:r>
        <w:rPr>
          <w:rFonts w:hint="eastAsia" w:asciiTheme="minorEastAsia" w:hAnsiTheme="minorEastAsia" w:eastAsiaTheme="minorEastAsia" w:cstheme="minorEastAsia"/>
          <w:spacing w:val="-31"/>
          <w:sz w:val="28"/>
          <w:szCs w:val="28"/>
        </w:rPr>
        <w:t xml:space="preserve"> </w:t>
      </w:r>
      <w:r>
        <w:rPr>
          <w:rFonts w:hint="eastAsia" w:asciiTheme="minorEastAsia" w:hAnsiTheme="minorEastAsia" w:eastAsiaTheme="minorEastAsia" w:cstheme="minorEastAsia"/>
          <w:spacing w:val="11"/>
          <w:sz w:val="28"/>
          <w:szCs w:val="28"/>
        </w:rPr>
        <w:t>，得到了全院职工的一致好</w:t>
      </w:r>
      <w:r>
        <w:rPr>
          <w:rFonts w:hint="eastAsia" w:asciiTheme="minorEastAsia" w:hAnsiTheme="minorEastAsia" w:eastAsiaTheme="minorEastAsia" w:cstheme="minorEastAsia"/>
          <w:spacing w:val="17"/>
          <w:sz w:val="28"/>
          <w:szCs w:val="28"/>
        </w:rPr>
        <w:t>评</w:t>
      </w:r>
      <w:r>
        <w:rPr>
          <w:rFonts w:hint="eastAsia" w:asciiTheme="minorEastAsia" w:hAnsiTheme="minorEastAsia" w:eastAsiaTheme="minorEastAsia" w:cstheme="minorEastAsia"/>
          <w:spacing w:val="-78"/>
          <w:sz w:val="28"/>
          <w:szCs w:val="28"/>
        </w:rPr>
        <w:t xml:space="preserve"> </w:t>
      </w:r>
      <w:r>
        <w:rPr>
          <w:rFonts w:hint="eastAsia" w:asciiTheme="minorEastAsia" w:hAnsiTheme="minorEastAsia" w:eastAsiaTheme="minorEastAsia" w:cstheme="minorEastAsia"/>
          <w:spacing w:val="17"/>
          <w:sz w:val="28"/>
          <w:szCs w:val="28"/>
        </w:rPr>
        <w:t>。发现的主要问题和原因 ：款项到达后未能第一</w:t>
      </w:r>
      <w:r>
        <w:rPr>
          <w:rFonts w:hint="eastAsia" w:asciiTheme="minorEastAsia" w:hAnsiTheme="minorEastAsia" w:eastAsiaTheme="minorEastAsia" w:cstheme="minorEastAsia"/>
          <w:spacing w:val="-26"/>
          <w:sz w:val="28"/>
          <w:szCs w:val="28"/>
        </w:rPr>
        <w:t xml:space="preserve"> </w:t>
      </w:r>
      <w:r>
        <w:rPr>
          <w:rFonts w:hint="eastAsia" w:asciiTheme="minorEastAsia" w:hAnsiTheme="minorEastAsia" w:eastAsiaTheme="minorEastAsia" w:cstheme="minorEastAsia"/>
          <w:spacing w:val="17"/>
          <w:sz w:val="28"/>
          <w:szCs w:val="28"/>
        </w:rPr>
        <w:t>时间付</w:t>
      </w:r>
      <w:r>
        <w:rPr>
          <w:rFonts w:hint="eastAsia" w:asciiTheme="minorEastAsia" w:hAnsiTheme="minorEastAsia" w:eastAsiaTheme="minorEastAsia" w:cstheme="minorEastAsia"/>
          <w:spacing w:val="32"/>
          <w:sz w:val="28"/>
          <w:szCs w:val="28"/>
        </w:rPr>
        <w:t>款。下一步改进措施 ：</w:t>
      </w:r>
      <w:r>
        <w:rPr>
          <w:rFonts w:hint="eastAsia" w:asciiTheme="minorEastAsia" w:hAnsiTheme="minorEastAsia" w:eastAsiaTheme="minorEastAsia" w:cstheme="minorEastAsia"/>
          <w:spacing w:val="-83"/>
          <w:sz w:val="28"/>
          <w:szCs w:val="28"/>
        </w:rPr>
        <w:t xml:space="preserve"> </w:t>
      </w:r>
      <w:r>
        <w:rPr>
          <w:rFonts w:hint="eastAsia" w:asciiTheme="minorEastAsia" w:hAnsiTheme="minorEastAsia" w:eastAsiaTheme="minorEastAsia" w:cstheme="minorEastAsia"/>
          <w:spacing w:val="32"/>
          <w:sz w:val="28"/>
          <w:szCs w:val="28"/>
        </w:rPr>
        <w:t>保证在款项到达后按时</w:t>
      </w:r>
      <w:r>
        <w:rPr>
          <w:rFonts w:hint="eastAsia" w:asciiTheme="minorEastAsia" w:hAnsiTheme="minorEastAsia" w:eastAsiaTheme="minorEastAsia" w:cstheme="minorEastAsia"/>
          <w:spacing w:val="31"/>
          <w:sz w:val="28"/>
          <w:szCs w:val="28"/>
        </w:rPr>
        <w:t>支付。</w:t>
      </w:r>
    </w:p>
    <w:p w14:paraId="3D912F0A">
      <w:pPr>
        <w:spacing w:before="65" w:line="360" w:lineRule="auto"/>
        <w:ind w:left="23" w:firstLine="66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12"/>
          <w:sz w:val="28"/>
          <w:szCs w:val="28"/>
        </w:rPr>
        <w:t>3</w:t>
      </w:r>
      <w:r>
        <w:rPr>
          <w:rFonts w:hint="eastAsia" w:asciiTheme="minorEastAsia" w:hAnsiTheme="minorEastAsia" w:eastAsiaTheme="minorEastAsia" w:cstheme="minorEastAsia"/>
          <w:spacing w:val="76"/>
          <w:sz w:val="28"/>
          <w:szCs w:val="28"/>
        </w:rPr>
        <w:t xml:space="preserve"> </w:t>
      </w:r>
      <w:r>
        <w:rPr>
          <w:rFonts w:hint="eastAsia" w:asciiTheme="minorEastAsia" w:hAnsiTheme="minorEastAsia" w:eastAsiaTheme="minorEastAsia" w:cstheme="minorEastAsia"/>
          <w:spacing w:val="12"/>
          <w:sz w:val="28"/>
          <w:szCs w:val="28"/>
        </w:rPr>
        <w:t>、</w:t>
      </w:r>
      <w:r>
        <w:rPr>
          <w:rFonts w:hint="eastAsia" w:asciiTheme="minorEastAsia" w:hAnsiTheme="minorEastAsia" w:eastAsiaTheme="minorEastAsia" w:cstheme="minorEastAsia"/>
          <w:spacing w:val="12"/>
          <w:sz w:val="28"/>
          <w:szCs w:val="28"/>
          <w:lang w:val="en-US" w:eastAsia="zh-CN"/>
        </w:rPr>
        <w:t>深化创新工作经费</w:t>
      </w:r>
      <w:r>
        <w:rPr>
          <w:rFonts w:hint="eastAsia" w:asciiTheme="minorEastAsia" w:hAnsiTheme="minorEastAsia" w:eastAsiaTheme="minorEastAsia" w:cstheme="minorEastAsia"/>
          <w:spacing w:val="12"/>
          <w:sz w:val="28"/>
          <w:szCs w:val="28"/>
        </w:rPr>
        <w:t>自评综述：根据年初设定的</w:t>
      </w:r>
      <w:r>
        <w:rPr>
          <w:rFonts w:hint="eastAsia" w:asciiTheme="minorEastAsia" w:hAnsiTheme="minorEastAsia" w:eastAsiaTheme="minorEastAsia" w:cstheme="minorEastAsia"/>
          <w:sz w:val="28"/>
          <w:szCs w:val="28"/>
        </w:rPr>
        <w:t xml:space="preserve">  绩效目标</w:t>
      </w:r>
      <w:r>
        <w:rPr>
          <w:rFonts w:hint="eastAsia" w:asciiTheme="minorEastAsia" w:hAnsiTheme="minorEastAsia" w:eastAsiaTheme="minorEastAsia" w:cstheme="minorEastAsia"/>
          <w:spacing w:val="-36"/>
          <w:sz w:val="28"/>
          <w:szCs w:val="28"/>
        </w:rPr>
        <w:t xml:space="preserve"> </w:t>
      </w:r>
      <w:r>
        <w:rPr>
          <w:rFonts w:hint="eastAsia" w:asciiTheme="minorEastAsia" w:hAnsiTheme="minorEastAsia" w:eastAsiaTheme="minorEastAsia" w:cstheme="minorEastAsia"/>
          <w:sz w:val="28"/>
          <w:szCs w:val="28"/>
        </w:rPr>
        <w:t>，项目自评得分 100 分。全年预算数为</w:t>
      </w:r>
      <w:r>
        <w:rPr>
          <w:rFonts w:hint="eastAsia" w:asciiTheme="minorEastAsia" w:hAnsiTheme="minorEastAsia" w:eastAsiaTheme="minorEastAsia" w:cstheme="minorEastAsia"/>
          <w:spacing w:val="-30"/>
          <w:sz w:val="28"/>
          <w:szCs w:val="28"/>
        </w:rPr>
        <w:t xml:space="preserve"> </w:t>
      </w:r>
      <w:r>
        <w:rPr>
          <w:rFonts w:hint="eastAsia" w:asciiTheme="minorEastAsia" w:hAnsiTheme="minorEastAsia" w:eastAsiaTheme="minorEastAsia" w:cstheme="minorEastAsia"/>
          <w:sz w:val="28"/>
          <w:szCs w:val="28"/>
          <w:lang w:val="en-US" w:eastAsia="zh-CN"/>
        </w:rPr>
        <w:t>12.3216</w:t>
      </w:r>
      <w:r>
        <w:rPr>
          <w:rFonts w:hint="eastAsia" w:asciiTheme="minorEastAsia" w:hAnsiTheme="minorEastAsia" w:eastAsiaTheme="minorEastAsia" w:cstheme="minorEastAsia"/>
          <w:sz w:val="28"/>
          <w:szCs w:val="28"/>
        </w:rPr>
        <w:t xml:space="preserve">万元 </w:t>
      </w:r>
      <w:r>
        <w:rPr>
          <w:rFonts w:hint="eastAsia" w:asciiTheme="minorEastAsia" w:hAnsiTheme="minorEastAsia" w:eastAsiaTheme="minorEastAsia" w:cstheme="minorEastAsia"/>
          <w:spacing w:val="6"/>
          <w:sz w:val="28"/>
          <w:szCs w:val="28"/>
        </w:rPr>
        <w:t>,执行数为</w:t>
      </w:r>
      <w:r>
        <w:rPr>
          <w:rFonts w:hint="eastAsia" w:asciiTheme="minorEastAsia" w:hAnsiTheme="minorEastAsia" w:eastAsiaTheme="minorEastAsia" w:cstheme="minorEastAsia"/>
          <w:spacing w:val="6"/>
          <w:sz w:val="28"/>
          <w:szCs w:val="28"/>
          <w:lang w:val="en-US" w:eastAsia="zh-CN"/>
        </w:rPr>
        <w:t>12.3216</w:t>
      </w:r>
      <w:r>
        <w:rPr>
          <w:rFonts w:hint="eastAsia" w:asciiTheme="minorEastAsia" w:hAnsiTheme="minorEastAsia" w:eastAsiaTheme="minorEastAsia" w:cstheme="minorEastAsia"/>
          <w:spacing w:val="6"/>
          <w:sz w:val="28"/>
          <w:szCs w:val="28"/>
        </w:rPr>
        <w:t>万元 ，完成预算的 100% 。项</w:t>
      </w:r>
      <w:r>
        <w:rPr>
          <w:rFonts w:hint="eastAsia" w:asciiTheme="minorEastAsia" w:hAnsiTheme="minorEastAsia" w:eastAsiaTheme="minorEastAsia" w:cstheme="minorEastAsia"/>
          <w:spacing w:val="-58"/>
          <w:sz w:val="28"/>
          <w:szCs w:val="28"/>
        </w:rPr>
        <w:t xml:space="preserve"> </w:t>
      </w:r>
      <w:r>
        <w:rPr>
          <w:rFonts w:hint="eastAsia" w:asciiTheme="minorEastAsia" w:hAnsiTheme="minorEastAsia" w:eastAsiaTheme="minorEastAsia" w:cstheme="minorEastAsia"/>
          <w:spacing w:val="6"/>
          <w:sz w:val="28"/>
          <w:szCs w:val="28"/>
        </w:rPr>
        <w:t>目绩效</w:t>
      </w:r>
      <w:r>
        <w:rPr>
          <w:rFonts w:hint="eastAsia" w:asciiTheme="minorEastAsia" w:hAnsiTheme="minorEastAsia" w:eastAsiaTheme="minorEastAsia" w:cstheme="minorEastAsia"/>
          <w:spacing w:val="5"/>
          <w:sz w:val="28"/>
          <w:szCs w:val="28"/>
        </w:rPr>
        <w:t>目标</w:t>
      </w:r>
      <w:r>
        <w:rPr>
          <w:rFonts w:hint="eastAsia" w:asciiTheme="minorEastAsia" w:hAnsiTheme="minorEastAsia" w:eastAsiaTheme="minorEastAsia" w:cstheme="minorEastAsia"/>
          <w:spacing w:val="19"/>
          <w:sz w:val="28"/>
          <w:szCs w:val="28"/>
        </w:rPr>
        <w:t>完成情况：绩效目标全部完成，提高了工作效率，满足院内人员需求和提高人民满意度，取得了良好社会效益，圆满完成了各项指标任务，得到了全院职工患者的一致好评。</w:t>
      </w:r>
      <w:r>
        <w:rPr>
          <w:rFonts w:hint="eastAsia" w:asciiTheme="minorEastAsia" w:hAnsiTheme="minorEastAsia" w:eastAsiaTheme="minorEastAsia" w:cstheme="minorEastAsia"/>
          <w:spacing w:val="16"/>
          <w:sz w:val="28"/>
          <w:szCs w:val="28"/>
        </w:rPr>
        <w:t>发现的主要问题和原因</w:t>
      </w:r>
      <w:r>
        <w:rPr>
          <w:rFonts w:hint="eastAsia" w:asciiTheme="minorEastAsia" w:hAnsiTheme="minorEastAsia" w:eastAsiaTheme="minorEastAsia" w:cstheme="minorEastAsia"/>
          <w:spacing w:val="19"/>
          <w:sz w:val="28"/>
          <w:szCs w:val="28"/>
        </w:rPr>
        <w:t>项目绩效目标不够细化、量化。下</w:t>
      </w:r>
      <w:r>
        <w:rPr>
          <w:rFonts w:hint="eastAsia" w:asciiTheme="minorEastAsia" w:hAnsiTheme="minorEastAsia" w:eastAsiaTheme="minorEastAsia" w:cstheme="minorEastAsia"/>
          <w:spacing w:val="18"/>
          <w:sz w:val="28"/>
          <w:szCs w:val="28"/>
        </w:rPr>
        <w:t>一步改进</w:t>
      </w:r>
      <w:r>
        <w:rPr>
          <w:rFonts w:hint="eastAsia" w:asciiTheme="minorEastAsia" w:hAnsiTheme="minorEastAsia" w:eastAsiaTheme="minorEastAsia" w:cstheme="minorEastAsia"/>
          <w:spacing w:val="16"/>
          <w:sz w:val="28"/>
          <w:szCs w:val="28"/>
        </w:rPr>
        <w:t>措施：进一步做的绩效目标明确、细化、量化。</w:t>
      </w:r>
    </w:p>
    <w:p w14:paraId="5BA51695">
      <w:pPr>
        <w:spacing w:before="156" w:line="354" w:lineRule="auto"/>
        <w:ind w:left="41" w:right="98" w:firstLine="627"/>
        <w:rPr>
          <w:rFonts w:hint="eastAsia" w:asciiTheme="minorEastAsia" w:hAnsiTheme="minorEastAsia" w:eastAsiaTheme="minorEastAsia" w:cstheme="minorEastAsia"/>
          <w:spacing w:val="7"/>
          <w:sz w:val="28"/>
          <w:szCs w:val="28"/>
        </w:rPr>
      </w:pPr>
      <w:r>
        <w:rPr>
          <w:rFonts w:hint="eastAsia" w:asciiTheme="minorEastAsia" w:hAnsiTheme="minorEastAsia" w:eastAsiaTheme="minorEastAsia" w:cstheme="minorEastAsia"/>
          <w:spacing w:val="10"/>
          <w:sz w:val="28"/>
          <w:szCs w:val="28"/>
        </w:rPr>
        <w:t>4</w:t>
      </w:r>
      <w:r>
        <w:rPr>
          <w:rFonts w:hint="eastAsia" w:asciiTheme="minorEastAsia" w:hAnsiTheme="minorEastAsia" w:eastAsiaTheme="minorEastAsia" w:cstheme="minorEastAsia"/>
          <w:spacing w:val="73"/>
          <w:sz w:val="28"/>
          <w:szCs w:val="28"/>
        </w:rPr>
        <w:t xml:space="preserve"> </w:t>
      </w:r>
      <w:r>
        <w:rPr>
          <w:rFonts w:hint="eastAsia" w:asciiTheme="minorEastAsia" w:hAnsiTheme="minorEastAsia" w:eastAsiaTheme="minorEastAsia" w:cstheme="minorEastAsia"/>
          <w:spacing w:val="10"/>
          <w:sz w:val="28"/>
          <w:szCs w:val="28"/>
        </w:rPr>
        <w:t>、维修费项目</w:t>
      </w:r>
      <w:r>
        <w:rPr>
          <w:rFonts w:hint="eastAsia" w:asciiTheme="minorEastAsia" w:hAnsiTheme="minorEastAsia" w:eastAsiaTheme="minorEastAsia" w:cstheme="minorEastAsia"/>
          <w:spacing w:val="-62"/>
          <w:sz w:val="28"/>
          <w:szCs w:val="28"/>
        </w:rPr>
        <w:t xml:space="preserve"> </w:t>
      </w:r>
      <w:r>
        <w:rPr>
          <w:rFonts w:hint="eastAsia" w:asciiTheme="minorEastAsia" w:hAnsiTheme="minorEastAsia" w:eastAsiaTheme="minorEastAsia" w:cstheme="minorEastAsia"/>
          <w:spacing w:val="10"/>
          <w:sz w:val="28"/>
          <w:szCs w:val="28"/>
        </w:rPr>
        <w:t>自评综述</w:t>
      </w:r>
      <w:r>
        <w:rPr>
          <w:rFonts w:hint="eastAsia" w:asciiTheme="minorEastAsia" w:hAnsiTheme="minorEastAsia" w:eastAsiaTheme="minorEastAsia" w:cstheme="minorEastAsia"/>
          <w:spacing w:val="-33"/>
          <w:sz w:val="28"/>
          <w:szCs w:val="28"/>
        </w:rPr>
        <w:t xml:space="preserve"> </w:t>
      </w:r>
      <w:r>
        <w:rPr>
          <w:rFonts w:hint="eastAsia" w:asciiTheme="minorEastAsia" w:hAnsiTheme="minorEastAsia" w:eastAsiaTheme="minorEastAsia" w:cstheme="minorEastAsia"/>
          <w:spacing w:val="10"/>
          <w:sz w:val="28"/>
          <w:szCs w:val="28"/>
        </w:rPr>
        <w:t>：根据年初设定的绩效目 标</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12"/>
          <w:sz w:val="28"/>
          <w:szCs w:val="28"/>
        </w:rPr>
        <w:t xml:space="preserve"> </w:t>
      </w:r>
      <w:r>
        <w:rPr>
          <w:rFonts w:hint="eastAsia" w:asciiTheme="minorEastAsia" w:hAnsiTheme="minorEastAsia" w:eastAsiaTheme="minorEastAsia" w:cstheme="minorEastAsia"/>
          <w:sz w:val="28"/>
          <w:szCs w:val="28"/>
        </w:rPr>
        <w:t>项目自评得分 100 分。全年预算数为 10 万元</w:t>
      </w:r>
      <w:r>
        <w:rPr>
          <w:rFonts w:hint="eastAsia" w:asciiTheme="minorEastAsia" w:hAnsiTheme="minorEastAsia" w:eastAsiaTheme="minorEastAsia" w:cstheme="minorEastAsia"/>
          <w:spacing w:val="-36"/>
          <w:sz w:val="28"/>
          <w:szCs w:val="28"/>
        </w:rPr>
        <w:t xml:space="preserve"> </w:t>
      </w:r>
      <w:r>
        <w:rPr>
          <w:rFonts w:hint="eastAsia" w:asciiTheme="minorEastAsia" w:hAnsiTheme="minorEastAsia" w:eastAsiaTheme="minorEastAsia" w:cstheme="minorEastAsia"/>
          <w:sz w:val="28"/>
          <w:szCs w:val="28"/>
        </w:rPr>
        <w:t>，执行数</w:t>
      </w:r>
      <w:r>
        <w:rPr>
          <w:rFonts w:hint="eastAsia" w:asciiTheme="minorEastAsia" w:hAnsiTheme="minorEastAsia" w:eastAsiaTheme="minorEastAsia" w:cstheme="minorEastAsia"/>
          <w:spacing w:val="8"/>
          <w:sz w:val="28"/>
          <w:szCs w:val="28"/>
        </w:rPr>
        <w:t>为</w:t>
      </w:r>
      <w:r>
        <w:rPr>
          <w:rFonts w:hint="eastAsia" w:asciiTheme="minorEastAsia" w:hAnsiTheme="minorEastAsia" w:eastAsiaTheme="minorEastAsia" w:cstheme="minorEastAsia"/>
          <w:spacing w:val="-25"/>
          <w:sz w:val="28"/>
          <w:szCs w:val="28"/>
        </w:rPr>
        <w:t xml:space="preserve"> </w:t>
      </w:r>
      <w:r>
        <w:rPr>
          <w:rFonts w:hint="eastAsia" w:asciiTheme="minorEastAsia" w:hAnsiTheme="minorEastAsia" w:eastAsiaTheme="minorEastAsia" w:cstheme="minorEastAsia"/>
          <w:spacing w:val="8"/>
          <w:sz w:val="28"/>
          <w:szCs w:val="28"/>
        </w:rPr>
        <w:t>9.95 万元，完成预算的</w:t>
      </w:r>
      <w:r>
        <w:rPr>
          <w:rFonts w:hint="eastAsia" w:asciiTheme="minorEastAsia" w:hAnsiTheme="minorEastAsia" w:eastAsiaTheme="minorEastAsia" w:cstheme="minorEastAsia"/>
          <w:spacing w:val="-40"/>
          <w:sz w:val="28"/>
          <w:szCs w:val="28"/>
        </w:rPr>
        <w:t xml:space="preserve"> </w:t>
      </w:r>
      <w:r>
        <w:rPr>
          <w:rFonts w:hint="eastAsia" w:asciiTheme="minorEastAsia" w:hAnsiTheme="minorEastAsia" w:eastAsiaTheme="minorEastAsia" w:cstheme="minorEastAsia"/>
          <w:spacing w:val="8"/>
          <w:sz w:val="28"/>
          <w:szCs w:val="28"/>
        </w:rPr>
        <w:t>99.5%。项目</w:t>
      </w:r>
      <w:r>
        <w:rPr>
          <w:rFonts w:hint="eastAsia" w:asciiTheme="minorEastAsia" w:hAnsiTheme="minorEastAsia" w:eastAsiaTheme="minorEastAsia" w:cstheme="minorEastAsia"/>
          <w:spacing w:val="7"/>
          <w:sz w:val="28"/>
          <w:szCs w:val="28"/>
        </w:rPr>
        <w:t>绩效目标完成情况：</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9"/>
          <w:sz w:val="28"/>
          <w:szCs w:val="28"/>
        </w:rPr>
        <w:t>绩效目标全部完成，保障了特殊群体的工作生</w:t>
      </w:r>
      <w:r>
        <w:rPr>
          <w:rFonts w:hint="eastAsia" w:asciiTheme="minorEastAsia" w:hAnsiTheme="minorEastAsia" w:eastAsiaTheme="minorEastAsia" w:cstheme="minorEastAsia"/>
          <w:spacing w:val="18"/>
          <w:sz w:val="28"/>
          <w:szCs w:val="28"/>
        </w:rPr>
        <w:t>活安全，改善</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9"/>
          <w:sz w:val="28"/>
          <w:szCs w:val="28"/>
        </w:rPr>
        <w:t>了职工和患者的工作和就医环境，提升了服务</w:t>
      </w:r>
      <w:r>
        <w:rPr>
          <w:rFonts w:hint="eastAsia" w:asciiTheme="minorEastAsia" w:hAnsiTheme="minorEastAsia" w:eastAsiaTheme="minorEastAsia" w:cstheme="minorEastAsia"/>
          <w:spacing w:val="18"/>
          <w:sz w:val="28"/>
          <w:szCs w:val="28"/>
        </w:rPr>
        <w:t>品质，增加了</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9"/>
          <w:sz w:val="28"/>
          <w:szCs w:val="28"/>
        </w:rPr>
        <w:t>职工工作热情。得到了全院职工的一致好评。</w:t>
      </w:r>
      <w:r>
        <w:rPr>
          <w:rFonts w:hint="eastAsia" w:asciiTheme="minorEastAsia" w:hAnsiTheme="minorEastAsia" w:eastAsiaTheme="minorEastAsia" w:cstheme="minorEastAsia"/>
          <w:spacing w:val="18"/>
          <w:sz w:val="28"/>
          <w:szCs w:val="28"/>
        </w:rPr>
        <w:t>发现的主要问</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7"/>
          <w:sz w:val="28"/>
          <w:szCs w:val="28"/>
        </w:rPr>
        <w:t>题和原因 ：款项到达后未能第一</w:t>
      </w:r>
      <w:r>
        <w:rPr>
          <w:rFonts w:hint="eastAsia" w:asciiTheme="minorEastAsia" w:hAnsiTheme="minorEastAsia" w:eastAsiaTheme="minorEastAsia" w:cstheme="minorEastAsia"/>
          <w:spacing w:val="-19"/>
          <w:sz w:val="28"/>
          <w:szCs w:val="28"/>
        </w:rPr>
        <w:t xml:space="preserve"> </w:t>
      </w:r>
      <w:r>
        <w:rPr>
          <w:rFonts w:hint="eastAsia" w:asciiTheme="minorEastAsia" w:hAnsiTheme="minorEastAsia" w:eastAsiaTheme="minorEastAsia" w:cstheme="minorEastAsia"/>
          <w:spacing w:val="17"/>
          <w:sz w:val="28"/>
          <w:szCs w:val="28"/>
        </w:rPr>
        <w:t>时间付款</w:t>
      </w:r>
      <w:r>
        <w:rPr>
          <w:rFonts w:hint="eastAsia" w:asciiTheme="minorEastAsia" w:hAnsiTheme="minorEastAsia" w:eastAsiaTheme="minorEastAsia" w:cstheme="minorEastAsia"/>
          <w:spacing w:val="-90"/>
          <w:sz w:val="28"/>
          <w:szCs w:val="28"/>
        </w:rPr>
        <w:t xml:space="preserve"> </w:t>
      </w:r>
      <w:r>
        <w:rPr>
          <w:rFonts w:hint="eastAsia" w:asciiTheme="minorEastAsia" w:hAnsiTheme="minorEastAsia" w:eastAsiaTheme="minorEastAsia" w:cstheme="minorEastAsia"/>
          <w:spacing w:val="17"/>
          <w:sz w:val="28"/>
          <w:szCs w:val="28"/>
        </w:rPr>
        <w:t>。下一步改进措</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19"/>
          <w:sz w:val="28"/>
          <w:szCs w:val="28"/>
        </w:rPr>
        <w:t>施：进一步加强预算金额的准确性，保证在款</w:t>
      </w:r>
      <w:r>
        <w:rPr>
          <w:rFonts w:hint="eastAsia" w:asciiTheme="minorEastAsia" w:hAnsiTheme="minorEastAsia" w:eastAsiaTheme="minorEastAsia" w:cstheme="minorEastAsia"/>
          <w:spacing w:val="18"/>
          <w:sz w:val="28"/>
          <w:szCs w:val="28"/>
        </w:rPr>
        <w:t>项到达后按时</w:t>
      </w:r>
      <w:r>
        <w:rPr>
          <w:rFonts w:hint="eastAsia" w:asciiTheme="minorEastAsia" w:hAnsiTheme="minorEastAsia" w:eastAsiaTheme="minorEastAsia" w:cstheme="minorEastAsia"/>
          <w:spacing w:val="7"/>
          <w:sz w:val="28"/>
          <w:szCs w:val="28"/>
        </w:rPr>
        <w:t>支付。</w:t>
      </w:r>
    </w:p>
    <w:p w14:paraId="4A280708">
      <w:pPr>
        <w:widowControl/>
        <w:numPr>
          <w:ilvl w:val="0"/>
          <w:numId w:val="0"/>
        </w:numPr>
        <w:spacing w:before="240" w:after="240"/>
        <w:ind w:firstLine="616" w:firstLineChars="200"/>
        <w:rPr>
          <w:rFonts w:hint="eastAsia" w:asciiTheme="minorEastAsia" w:hAnsiTheme="minorEastAsia" w:eastAsiaTheme="minorEastAsia" w:cstheme="minorEastAsia"/>
          <w:spacing w:val="14"/>
          <w:sz w:val="28"/>
          <w:szCs w:val="28"/>
          <w:lang w:eastAsia="zh-CN"/>
        </w:rPr>
      </w:pPr>
      <w:r>
        <w:rPr>
          <w:rFonts w:hint="eastAsia" w:asciiTheme="minorEastAsia" w:hAnsiTheme="minorEastAsia" w:eastAsiaTheme="minorEastAsia" w:cstheme="minorEastAsia"/>
          <w:spacing w:val="14"/>
          <w:sz w:val="28"/>
          <w:szCs w:val="28"/>
          <w:lang w:val="en-US" w:eastAsia="zh-CN"/>
        </w:rPr>
        <w:t>5、消防维保</w:t>
      </w:r>
      <w:r>
        <w:rPr>
          <w:rFonts w:hint="eastAsia" w:asciiTheme="minorEastAsia" w:hAnsiTheme="minorEastAsia" w:eastAsiaTheme="minorEastAsia" w:cstheme="minorEastAsia"/>
          <w:spacing w:val="14"/>
          <w:sz w:val="28"/>
          <w:szCs w:val="28"/>
        </w:rPr>
        <w:t>项目</w:t>
      </w:r>
      <w:r>
        <w:rPr>
          <w:rFonts w:hint="eastAsia" w:asciiTheme="minorEastAsia" w:hAnsiTheme="minorEastAsia" w:eastAsiaTheme="minorEastAsia" w:cstheme="minorEastAsia"/>
          <w:spacing w:val="-48"/>
          <w:sz w:val="28"/>
          <w:szCs w:val="28"/>
        </w:rPr>
        <w:t xml:space="preserve"> </w:t>
      </w:r>
      <w:r>
        <w:rPr>
          <w:rFonts w:hint="eastAsia" w:asciiTheme="minorEastAsia" w:hAnsiTheme="minorEastAsia" w:eastAsiaTheme="minorEastAsia" w:cstheme="minorEastAsia"/>
          <w:spacing w:val="14"/>
          <w:sz w:val="28"/>
          <w:szCs w:val="28"/>
        </w:rPr>
        <w:t>自评综述 ：根据年初设定的</w:t>
      </w:r>
      <w:r>
        <w:rPr>
          <w:rFonts w:hint="eastAsia" w:asciiTheme="minorEastAsia" w:hAnsiTheme="minorEastAsia" w:eastAsiaTheme="minorEastAsia" w:cstheme="minorEastAsia"/>
          <w:spacing w:val="2"/>
          <w:sz w:val="28"/>
          <w:szCs w:val="28"/>
        </w:rPr>
        <w:t>绩效目标</w:t>
      </w:r>
      <w:r>
        <w:rPr>
          <w:rFonts w:hint="eastAsia" w:asciiTheme="minorEastAsia" w:hAnsiTheme="minorEastAsia" w:eastAsiaTheme="minorEastAsia" w:cstheme="minorEastAsia"/>
          <w:spacing w:val="-33"/>
          <w:sz w:val="28"/>
          <w:szCs w:val="28"/>
        </w:rPr>
        <w:t xml:space="preserve"> </w:t>
      </w:r>
      <w:r>
        <w:rPr>
          <w:rFonts w:hint="eastAsia" w:asciiTheme="minorEastAsia" w:hAnsiTheme="minorEastAsia" w:eastAsiaTheme="minorEastAsia" w:cstheme="minorEastAsia"/>
          <w:spacing w:val="2"/>
          <w:sz w:val="28"/>
          <w:szCs w:val="28"/>
        </w:rPr>
        <w:t>，项</w:t>
      </w:r>
      <w:r>
        <w:rPr>
          <w:rFonts w:hint="eastAsia" w:asciiTheme="minorEastAsia" w:hAnsiTheme="minorEastAsia" w:eastAsiaTheme="minorEastAsia" w:cstheme="minorEastAsia"/>
          <w:spacing w:val="-66"/>
          <w:sz w:val="28"/>
          <w:szCs w:val="28"/>
        </w:rPr>
        <w:t xml:space="preserve"> </w:t>
      </w:r>
      <w:r>
        <w:rPr>
          <w:rFonts w:hint="eastAsia" w:asciiTheme="minorEastAsia" w:hAnsiTheme="minorEastAsia" w:eastAsiaTheme="minorEastAsia" w:cstheme="minorEastAsia"/>
          <w:spacing w:val="2"/>
          <w:sz w:val="28"/>
          <w:szCs w:val="28"/>
        </w:rPr>
        <w:t>目</w:t>
      </w:r>
      <w:r>
        <w:rPr>
          <w:rFonts w:hint="eastAsia" w:asciiTheme="minorEastAsia" w:hAnsiTheme="minorEastAsia" w:eastAsiaTheme="minorEastAsia" w:cstheme="minorEastAsia"/>
          <w:spacing w:val="-65"/>
          <w:sz w:val="28"/>
          <w:szCs w:val="28"/>
        </w:rPr>
        <w:t xml:space="preserve"> </w:t>
      </w:r>
      <w:r>
        <w:rPr>
          <w:rFonts w:hint="eastAsia" w:asciiTheme="minorEastAsia" w:hAnsiTheme="minorEastAsia" w:eastAsiaTheme="minorEastAsia" w:cstheme="minorEastAsia"/>
          <w:spacing w:val="2"/>
          <w:sz w:val="28"/>
          <w:szCs w:val="28"/>
        </w:rPr>
        <w:t>自评得分 100 分。全年预算数为</w:t>
      </w:r>
      <w:r>
        <w:rPr>
          <w:rFonts w:hint="eastAsia" w:asciiTheme="minorEastAsia" w:hAnsiTheme="minorEastAsia" w:eastAsiaTheme="minorEastAsia" w:cstheme="minorEastAsia"/>
          <w:spacing w:val="2"/>
          <w:sz w:val="28"/>
          <w:szCs w:val="28"/>
          <w:lang w:val="en-US" w:eastAsia="zh-CN"/>
        </w:rPr>
        <w:t>4</w:t>
      </w:r>
      <w:r>
        <w:rPr>
          <w:rFonts w:hint="eastAsia" w:asciiTheme="minorEastAsia" w:hAnsiTheme="minorEastAsia" w:eastAsiaTheme="minorEastAsia" w:cstheme="minorEastAsia"/>
          <w:spacing w:val="1"/>
          <w:sz w:val="28"/>
          <w:szCs w:val="28"/>
        </w:rPr>
        <w:t>万元，</w:t>
      </w: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pacing w:val="7"/>
          <w:sz w:val="28"/>
          <w:szCs w:val="28"/>
        </w:rPr>
        <w:t xml:space="preserve">执行数为 </w:t>
      </w:r>
      <w:r>
        <w:rPr>
          <w:rFonts w:hint="eastAsia" w:asciiTheme="minorEastAsia" w:hAnsiTheme="minorEastAsia" w:eastAsiaTheme="minorEastAsia" w:cstheme="minorEastAsia"/>
          <w:spacing w:val="7"/>
          <w:sz w:val="28"/>
          <w:szCs w:val="28"/>
          <w:lang w:val="en-US" w:eastAsia="zh-CN"/>
        </w:rPr>
        <w:t>4</w:t>
      </w:r>
      <w:r>
        <w:rPr>
          <w:rFonts w:hint="eastAsia" w:asciiTheme="minorEastAsia" w:hAnsiTheme="minorEastAsia" w:eastAsiaTheme="minorEastAsia" w:cstheme="minorEastAsia"/>
          <w:spacing w:val="7"/>
          <w:sz w:val="28"/>
          <w:szCs w:val="28"/>
        </w:rPr>
        <w:t xml:space="preserve"> 万元</w:t>
      </w:r>
      <w:r>
        <w:rPr>
          <w:rFonts w:hint="eastAsia" w:asciiTheme="minorEastAsia" w:hAnsiTheme="minorEastAsia" w:eastAsiaTheme="minorEastAsia" w:cstheme="minorEastAsia"/>
          <w:spacing w:val="-22"/>
          <w:sz w:val="28"/>
          <w:szCs w:val="28"/>
        </w:rPr>
        <w:t xml:space="preserve"> </w:t>
      </w:r>
      <w:r>
        <w:rPr>
          <w:rFonts w:hint="eastAsia" w:asciiTheme="minorEastAsia" w:hAnsiTheme="minorEastAsia" w:eastAsiaTheme="minorEastAsia" w:cstheme="minorEastAsia"/>
          <w:spacing w:val="7"/>
          <w:sz w:val="28"/>
          <w:szCs w:val="28"/>
        </w:rPr>
        <w:t>，完成预算的 100%。项目绩效目标完成情</w:t>
      </w:r>
      <w:r>
        <w:rPr>
          <w:rFonts w:hint="eastAsia" w:asciiTheme="minorEastAsia" w:hAnsiTheme="minorEastAsia" w:eastAsiaTheme="minorEastAsia" w:cstheme="minorEastAsia"/>
          <w:spacing w:val="19"/>
          <w:sz w:val="28"/>
          <w:szCs w:val="28"/>
        </w:rPr>
        <w:t>况：绩效目标全部完成</w:t>
      </w:r>
      <w:r>
        <w:rPr>
          <w:rFonts w:hint="eastAsia" w:asciiTheme="minorEastAsia" w:hAnsiTheme="minorEastAsia" w:eastAsiaTheme="minorEastAsia" w:cstheme="minorEastAsia"/>
          <w:spacing w:val="19"/>
          <w:sz w:val="28"/>
          <w:szCs w:val="28"/>
          <w:lang w:eastAsia="zh-CN"/>
        </w:rPr>
        <w:t>，</w:t>
      </w:r>
      <w:r>
        <w:rPr>
          <w:rFonts w:hint="eastAsia" w:asciiTheme="minorEastAsia" w:hAnsiTheme="minorEastAsia" w:eastAsiaTheme="minorEastAsia" w:cstheme="minorEastAsia"/>
          <w:spacing w:val="19"/>
          <w:sz w:val="28"/>
          <w:szCs w:val="28"/>
        </w:rPr>
        <w:t>消防设施的维修保护保障盲人按摩医院患者职工的安全</w:t>
      </w:r>
      <w:r>
        <w:rPr>
          <w:rFonts w:hint="eastAsia" w:asciiTheme="minorEastAsia" w:hAnsiTheme="minorEastAsia" w:eastAsiaTheme="minorEastAsia" w:cstheme="minorEastAsia"/>
          <w:spacing w:val="19"/>
          <w:sz w:val="28"/>
          <w:szCs w:val="28"/>
          <w:lang w:eastAsia="zh-CN"/>
        </w:rPr>
        <w:t>，</w:t>
      </w:r>
      <w:r>
        <w:rPr>
          <w:rFonts w:hint="eastAsia" w:asciiTheme="minorEastAsia" w:hAnsiTheme="minorEastAsia" w:eastAsiaTheme="minorEastAsia" w:cstheme="minorEastAsia"/>
          <w:spacing w:val="19"/>
          <w:sz w:val="28"/>
          <w:szCs w:val="28"/>
        </w:rPr>
        <w:tab/>
      </w:r>
      <w:r>
        <w:rPr>
          <w:rFonts w:hint="eastAsia" w:asciiTheme="minorEastAsia" w:hAnsiTheme="minorEastAsia" w:eastAsiaTheme="minorEastAsia" w:cstheme="minorEastAsia"/>
          <w:spacing w:val="19"/>
          <w:sz w:val="28"/>
          <w:szCs w:val="28"/>
          <w:lang w:eastAsia="zh-CN"/>
        </w:rPr>
        <w:t>保障办公场所供安全，满足院内人员需求和提高人民满意度，取得了良好社会效益，圆满完成了各项指标任务，得到了全院职工患者的一致好评。</w:t>
      </w:r>
      <w:r>
        <w:rPr>
          <w:rFonts w:hint="eastAsia" w:asciiTheme="minorEastAsia" w:hAnsiTheme="minorEastAsia" w:eastAsiaTheme="minorEastAsia" w:cstheme="minorEastAsia"/>
          <w:spacing w:val="19"/>
          <w:sz w:val="28"/>
          <w:szCs w:val="28"/>
          <w:lang w:eastAsia="zh-CN"/>
        </w:rPr>
        <w:tab/>
      </w:r>
      <w:r>
        <w:rPr>
          <w:rFonts w:hint="eastAsia" w:asciiTheme="minorEastAsia" w:hAnsiTheme="minorEastAsia" w:eastAsiaTheme="minorEastAsia" w:cstheme="minorEastAsia"/>
          <w:spacing w:val="19"/>
          <w:sz w:val="28"/>
          <w:szCs w:val="28"/>
          <w:lang w:val="en-US" w:eastAsia="zh-CN"/>
        </w:rPr>
        <w:t>发</w:t>
      </w:r>
      <w:r>
        <w:rPr>
          <w:rFonts w:hint="eastAsia" w:asciiTheme="minorEastAsia" w:hAnsiTheme="minorEastAsia" w:eastAsiaTheme="minorEastAsia" w:cstheme="minorEastAsia"/>
          <w:spacing w:val="16"/>
          <w:sz w:val="28"/>
          <w:szCs w:val="28"/>
        </w:rPr>
        <w:t>现的主要问题和原因：：款项到达后未能第一时间付款。下一步改进措施</w:t>
      </w:r>
      <w:r>
        <w:rPr>
          <w:rFonts w:hint="eastAsia" w:asciiTheme="minorEastAsia" w:hAnsiTheme="minorEastAsia" w:eastAsiaTheme="minorEastAsia" w:cstheme="minorEastAsia"/>
          <w:spacing w:val="15"/>
          <w:sz w:val="28"/>
          <w:szCs w:val="28"/>
        </w:rPr>
        <w:t>：保证</w:t>
      </w:r>
      <w:r>
        <w:rPr>
          <w:rFonts w:hint="eastAsia" w:asciiTheme="minorEastAsia" w:hAnsiTheme="minorEastAsia" w:eastAsiaTheme="minorEastAsia" w:cstheme="minorEastAsia"/>
          <w:spacing w:val="14"/>
          <w:sz w:val="28"/>
          <w:szCs w:val="28"/>
        </w:rPr>
        <w:t>在款项到达后按时支</w:t>
      </w:r>
      <w:r>
        <w:rPr>
          <w:rFonts w:hint="eastAsia" w:asciiTheme="minorEastAsia" w:hAnsiTheme="minorEastAsia" w:eastAsiaTheme="minorEastAsia" w:cstheme="minorEastAsia"/>
          <w:spacing w:val="14"/>
          <w:sz w:val="28"/>
          <w:szCs w:val="28"/>
          <w:lang w:eastAsia="zh-CN"/>
        </w:rPr>
        <w:t>。</w:t>
      </w:r>
    </w:p>
    <w:tbl>
      <w:tblPr>
        <w:tblStyle w:val="21"/>
        <w:tblW w:w="100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6"/>
        <w:gridCol w:w="176"/>
        <w:gridCol w:w="621"/>
        <w:gridCol w:w="93"/>
        <w:gridCol w:w="790"/>
        <w:gridCol w:w="31"/>
        <w:gridCol w:w="846"/>
        <w:gridCol w:w="254"/>
        <w:gridCol w:w="388"/>
        <w:gridCol w:w="267"/>
        <w:gridCol w:w="208"/>
        <w:gridCol w:w="595"/>
        <w:gridCol w:w="161"/>
        <w:gridCol w:w="415"/>
        <w:gridCol w:w="341"/>
        <w:gridCol w:w="421"/>
        <w:gridCol w:w="404"/>
        <w:gridCol w:w="270"/>
        <w:gridCol w:w="760"/>
        <w:gridCol w:w="133"/>
        <w:gridCol w:w="612"/>
        <w:gridCol w:w="196"/>
        <w:gridCol w:w="802"/>
        <w:gridCol w:w="900"/>
      </w:tblGrid>
      <w:tr w14:paraId="5B5B9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960" w:hRule="atLeast"/>
        </w:trPr>
        <w:tc>
          <w:tcPr>
            <w:tcW w:w="9180" w:type="dxa"/>
            <w:gridSpan w:val="23"/>
            <w:tcBorders>
              <w:top w:val="single" w:color="000000" w:sz="4" w:space="0"/>
              <w:left w:val="single" w:color="000000" w:sz="4" w:space="0"/>
              <w:bottom w:val="single" w:color="000000" w:sz="4" w:space="0"/>
              <w:right w:val="single" w:color="000000" w:sz="4" w:space="0"/>
            </w:tcBorders>
            <w:shd w:val="clear" w:color="auto" w:fill="auto"/>
            <w:vAlign w:val="center"/>
          </w:tcPr>
          <w:p w14:paraId="0BF86408">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1ACB7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380" w:hRule="atLeast"/>
        </w:trPr>
        <w:tc>
          <w:tcPr>
            <w:tcW w:w="12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B9B9EB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894"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14:paraId="213117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取暖费</w:t>
            </w:r>
          </w:p>
        </w:tc>
      </w:tr>
      <w:tr w14:paraId="30212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380" w:hRule="atLeast"/>
        </w:trPr>
        <w:tc>
          <w:tcPr>
            <w:tcW w:w="12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5C4D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37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58B17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7BAB90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1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DB9DC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呼和浩特市盲人按摩医院</w:t>
            </w:r>
          </w:p>
        </w:tc>
      </w:tr>
      <w:tr w14:paraId="47DD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380" w:hRule="atLeast"/>
        </w:trPr>
        <w:tc>
          <w:tcPr>
            <w:tcW w:w="128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53A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F07A4">
            <w:pPr>
              <w:rPr>
                <w:rFonts w:hint="eastAsia" w:ascii="宋体" w:hAnsi="宋体" w:eastAsia="宋体" w:cs="宋体"/>
                <w:i w:val="0"/>
                <w:iCs w:val="0"/>
                <w:color w:val="000000"/>
                <w:sz w:val="18"/>
                <w:szCs w:val="18"/>
                <w:u w:val="none"/>
              </w:rPr>
            </w:pP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051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5DC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653AB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B2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BC3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72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15E7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380" w:hRule="atLeast"/>
        </w:trPr>
        <w:tc>
          <w:tcPr>
            <w:tcW w:w="128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D628F">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E5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B0C0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1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CD35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1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864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B3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EB9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F8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48F5F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380" w:hRule="atLeast"/>
        </w:trPr>
        <w:tc>
          <w:tcPr>
            <w:tcW w:w="128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29C06">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833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971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1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6504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1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256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080A">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638B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905F">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5766F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380" w:hRule="atLeast"/>
        </w:trPr>
        <w:tc>
          <w:tcPr>
            <w:tcW w:w="128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06B67">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D5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396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F37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6C2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83CF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943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48BF">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8BA0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380" w:hRule="atLeast"/>
        </w:trPr>
        <w:tc>
          <w:tcPr>
            <w:tcW w:w="128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762D6">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AD0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BB19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B81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E64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95959">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29B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F7EDF">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0D9C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380" w:hRule="atLeast"/>
        </w:trPr>
        <w:tc>
          <w:tcPr>
            <w:tcW w:w="128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AAA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95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88D80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39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CBD08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00049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1120" w:hRule="atLeast"/>
        </w:trPr>
        <w:tc>
          <w:tcPr>
            <w:tcW w:w="128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0C75C">
            <w:pPr>
              <w:jc w:val="center"/>
              <w:rPr>
                <w:rFonts w:hint="eastAsia" w:ascii="宋体" w:hAnsi="宋体" w:eastAsia="宋体" w:cs="宋体"/>
                <w:i w:val="0"/>
                <w:iCs w:val="0"/>
                <w:color w:val="000000"/>
                <w:sz w:val="18"/>
                <w:szCs w:val="18"/>
                <w:u w:val="none"/>
              </w:rPr>
            </w:pPr>
          </w:p>
        </w:tc>
        <w:tc>
          <w:tcPr>
            <w:tcW w:w="395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EDBD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保证按摩医院场所供暖，满足院内人员供暖需求.</w:t>
            </w:r>
          </w:p>
        </w:tc>
        <w:tc>
          <w:tcPr>
            <w:tcW w:w="39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FDB7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绩效目标全部完成，保障办公场所供暖，满足院内人员供暖需求和提高人民满意度，取得了良好社会效益，圆满完成了各项指标任务，得到了全院职工患者的一致好评。</w:t>
            </w:r>
          </w:p>
        </w:tc>
      </w:tr>
      <w:tr w14:paraId="4D396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660" w:hRule="atLeast"/>
        </w:trPr>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D7B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007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19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1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5EA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C7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8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F4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AD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AE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6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04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7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283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E329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1F73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840" w:hRule="atLeast"/>
        </w:trPr>
        <w:tc>
          <w:tcPr>
            <w:tcW w:w="396" w:type="dxa"/>
            <w:vMerge w:val="restart"/>
            <w:tcBorders>
              <w:top w:val="single" w:color="000000" w:sz="4" w:space="0"/>
              <w:left w:val="single" w:color="000000" w:sz="4" w:space="0"/>
              <w:bottom w:val="nil"/>
              <w:right w:val="single" w:color="000000" w:sz="4" w:space="0"/>
            </w:tcBorders>
            <w:shd w:val="clear" w:color="auto" w:fill="auto"/>
            <w:vAlign w:val="center"/>
          </w:tcPr>
          <w:p w14:paraId="7978E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890"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30876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21" w:type="dxa"/>
            <w:gridSpan w:val="2"/>
            <w:tcBorders>
              <w:top w:val="single" w:color="000000" w:sz="4" w:space="0"/>
              <w:left w:val="single" w:color="000000" w:sz="4" w:space="0"/>
              <w:bottom w:val="nil"/>
              <w:right w:val="single" w:color="000000" w:sz="4" w:space="0"/>
            </w:tcBorders>
            <w:shd w:val="clear" w:color="auto" w:fill="auto"/>
            <w:vAlign w:val="center"/>
          </w:tcPr>
          <w:p w14:paraId="6CF43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00" w:type="dxa"/>
            <w:gridSpan w:val="2"/>
            <w:tcBorders>
              <w:top w:val="single" w:color="000000" w:sz="4" w:space="0"/>
              <w:left w:val="single" w:color="000000" w:sz="4" w:space="0"/>
              <w:bottom w:val="nil"/>
              <w:right w:val="single" w:color="000000" w:sz="4" w:space="0"/>
            </w:tcBorders>
            <w:shd w:val="clear" w:color="auto" w:fill="auto"/>
            <w:vAlign w:val="center"/>
          </w:tcPr>
          <w:p w14:paraId="0547A8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供暖面积</w:t>
            </w:r>
          </w:p>
        </w:tc>
        <w:tc>
          <w:tcPr>
            <w:tcW w:w="655" w:type="dxa"/>
            <w:gridSpan w:val="2"/>
            <w:tcBorders>
              <w:top w:val="single" w:color="000000" w:sz="4" w:space="0"/>
              <w:left w:val="single" w:color="000000" w:sz="4" w:space="0"/>
              <w:bottom w:val="nil"/>
              <w:right w:val="single" w:color="000000" w:sz="4" w:space="0"/>
            </w:tcBorders>
            <w:shd w:val="clear" w:color="auto" w:fill="auto"/>
            <w:vAlign w:val="center"/>
          </w:tcPr>
          <w:p w14:paraId="1DC45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3" w:type="dxa"/>
            <w:gridSpan w:val="2"/>
            <w:tcBorders>
              <w:top w:val="single" w:color="000000" w:sz="4" w:space="0"/>
              <w:left w:val="single" w:color="000000" w:sz="4" w:space="0"/>
              <w:bottom w:val="nil"/>
              <w:right w:val="single" w:color="000000" w:sz="4" w:space="0"/>
            </w:tcBorders>
            <w:shd w:val="clear" w:color="auto" w:fill="auto"/>
            <w:vAlign w:val="center"/>
          </w:tcPr>
          <w:p w14:paraId="5E585B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576" w:type="dxa"/>
            <w:gridSpan w:val="2"/>
            <w:tcBorders>
              <w:top w:val="single" w:color="000000" w:sz="4" w:space="0"/>
              <w:left w:val="single" w:color="000000" w:sz="4" w:space="0"/>
              <w:bottom w:val="nil"/>
              <w:right w:val="single" w:color="000000" w:sz="4" w:space="0"/>
            </w:tcBorders>
            <w:shd w:val="clear" w:color="auto" w:fill="auto"/>
            <w:vAlign w:val="center"/>
          </w:tcPr>
          <w:p w14:paraId="0CA1E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1700</w:t>
            </w:r>
          </w:p>
        </w:tc>
        <w:tc>
          <w:tcPr>
            <w:tcW w:w="762" w:type="dxa"/>
            <w:gridSpan w:val="2"/>
            <w:tcBorders>
              <w:top w:val="single" w:color="000000" w:sz="4" w:space="0"/>
              <w:left w:val="single" w:color="000000" w:sz="4" w:space="0"/>
              <w:bottom w:val="nil"/>
              <w:right w:val="single" w:color="000000" w:sz="4" w:space="0"/>
            </w:tcBorders>
            <w:shd w:val="clear" w:color="auto" w:fill="auto"/>
            <w:vAlign w:val="center"/>
          </w:tcPr>
          <w:p w14:paraId="51A6E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1700</w:t>
            </w:r>
          </w:p>
        </w:tc>
        <w:tc>
          <w:tcPr>
            <w:tcW w:w="674" w:type="dxa"/>
            <w:gridSpan w:val="2"/>
            <w:tcBorders>
              <w:top w:val="single" w:color="000000" w:sz="4" w:space="0"/>
              <w:left w:val="single" w:color="000000" w:sz="4" w:space="0"/>
              <w:bottom w:val="nil"/>
              <w:right w:val="single" w:color="000000" w:sz="4" w:space="0"/>
            </w:tcBorders>
            <w:shd w:val="clear" w:color="auto" w:fill="auto"/>
            <w:vAlign w:val="center"/>
          </w:tcPr>
          <w:p w14:paraId="61869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平方米</w:t>
            </w:r>
          </w:p>
        </w:tc>
        <w:tc>
          <w:tcPr>
            <w:tcW w:w="760" w:type="dxa"/>
            <w:tcBorders>
              <w:top w:val="single" w:color="000000" w:sz="4" w:space="0"/>
              <w:left w:val="single" w:color="000000" w:sz="4" w:space="0"/>
              <w:bottom w:val="nil"/>
              <w:right w:val="single" w:color="000000" w:sz="4" w:space="0"/>
            </w:tcBorders>
            <w:shd w:val="clear" w:color="auto" w:fill="auto"/>
            <w:vAlign w:val="center"/>
          </w:tcPr>
          <w:p w14:paraId="43A9E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45" w:type="dxa"/>
            <w:gridSpan w:val="2"/>
            <w:tcBorders>
              <w:top w:val="single" w:color="000000" w:sz="4" w:space="0"/>
              <w:left w:val="single" w:color="000000" w:sz="4" w:space="0"/>
              <w:bottom w:val="nil"/>
              <w:right w:val="single" w:color="000000" w:sz="4" w:space="0"/>
            </w:tcBorders>
            <w:shd w:val="clear" w:color="auto" w:fill="auto"/>
            <w:vAlign w:val="center"/>
          </w:tcPr>
          <w:p w14:paraId="0F5F6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8" w:type="dxa"/>
            <w:gridSpan w:val="2"/>
            <w:tcBorders>
              <w:top w:val="single" w:color="000000" w:sz="4" w:space="0"/>
              <w:left w:val="single" w:color="000000" w:sz="4" w:space="0"/>
              <w:bottom w:val="nil"/>
              <w:right w:val="single" w:color="000000" w:sz="4" w:space="0"/>
            </w:tcBorders>
            <w:shd w:val="clear" w:color="auto" w:fill="auto"/>
            <w:vAlign w:val="center"/>
          </w:tcPr>
          <w:p w14:paraId="0A893D67">
            <w:pPr>
              <w:jc w:val="center"/>
              <w:rPr>
                <w:rFonts w:hint="eastAsia" w:ascii="宋体" w:hAnsi="宋体" w:eastAsia="宋体" w:cs="宋体"/>
                <w:i w:val="0"/>
                <w:iCs w:val="0"/>
                <w:color w:val="000000"/>
                <w:sz w:val="18"/>
                <w:szCs w:val="18"/>
                <w:u w:val="none"/>
              </w:rPr>
            </w:pPr>
          </w:p>
        </w:tc>
      </w:tr>
      <w:tr w14:paraId="07B8B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840" w:hRule="atLeast"/>
        </w:trPr>
        <w:tc>
          <w:tcPr>
            <w:tcW w:w="396" w:type="dxa"/>
            <w:vMerge w:val="continue"/>
            <w:tcBorders>
              <w:top w:val="single" w:color="000000" w:sz="4" w:space="0"/>
              <w:left w:val="single" w:color="000000" w:sz="4" w:space="0"/>
              <w:bottom w:val="nil"/>
              <w:right w:val="single" w:color="000000" w:sz="4" w:space="0"/>
            </w:tcBorders>
            <w:shd w:val="clear" w:color="auto" w:fill="auto"/>
            <w:vAlign w:val="center"/>
          </w:tcPr>
          <w:p w14:paraId="33952481">
            <w:pPr>
              <w:jc w:val="center"/>
              <w:rPr>
                <w:rFonts w:hint="eastAsia" w:ascii="宋体" w:hAnsi="宋体" w:eastAsia="宋体" w:cs="宋体"/>
                <w:i w:val="0"/>
                <w:iCs w:val="0"/>
                <w:color w:val="000000"/>
                <w:sz w:val="18"/>
                <w:szCs w:val="18"/>
                <w:u w:val="none"/>
              </w:rPr>
            </w:pPr>
          </w:p>
        </w:tc>
        <w:tc>
          <w:tcPr>
            <w:tcW w:w="8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16B18CAF">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nil"/>
              <w:right w:val="single" w:color="000000" w:sz="4" w:space="0"/>
            </w:tcBorders>
            <w:shd w:val="clear" w:color="auto" w:fill="auto"/>
            <w:vAlign w:val="center"/>
          </w:tcPr>
          <w:p w14:paraId="7F792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100" w:type="dxa"/>
            <w:gridSpan w:val="2"/>
            <w:tcBorders>
              <w:top w:val="single" w:color="000000" w:sz="4" w:space="0"/>
              <w:left w:val="single" w:color="000000" w:sz="4" w:space="0"/>
              <w:bottom w:val="nil"/>
              <w:right w:val="single" w:color="000000" w:sz="4" w:space="0"/>
            </w:tcBorders>
            <w:shd w:val="clear" w:color="auto" w:fill="auto"/>
            <w:vAlign w:val="center"/>
          </w:tcPr>
          <w:p w14:paraId="7F787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房间取暖温度达标率</w:t>
            </w:r>
          </w:p>
        </w:tc>
        <w:tc>
          <w:tcPr>
            <w:tcW w:w="655" w:type="dxa"/>
            <w:gridSpan w:val="2"/>
            <w:tcBorders>
              <w:top w:val="single" w:color="000000" w:sz="4" w:space="0"/>
              <w:left w:val="single" w:color="000000" w:sz="4" w:space="0"/>
              <w:bottom w:val="nil"/>
              <w:right w:val="single" w:color="000000" w:sz="4" w:space="0"/>
            </w:tcBorders>
            <w:shd w:val="clear" w:color="auto" w:fill="auto"/>
            <w:vAlign w:val="center"/>
          </w:tcPr>
          <w:p w14:paraId="0FF03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3" w:type="dxa"/>
            <w:gridSpan w:val="2"/>
            <w:tcBorders>
              <w:top w:val="single" w:color="000000" w:sz="4" w:space="0"/>
              <w:left w:val="single" w:color="000000" w:sz="4" w:space="0"/>
              <w:bottom w:val="nil"/>
              <w:right w:val="single" w:color="000000" w:sz="4" w:space="0"/>
            </w:tcBorders>
            <w:shd w:val="clear" w:color="auto" w:fill="auto"/>
            <w:vAlign w:val="center"/>
          </w:tcPr>
          <w:p w14:paraId="35EEA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576" w:type="dxa"/>
            <w:gridSpan w:val="2"/>
            <w:tcBorders>
              <w:top w:val="single" w:color="000000" w:sz="4" w:space="0"/>
              <w:left w:val="single" w:color="000000" w:sz="4" w:space="0"/>
              <w:bottom w:val="nil"/>
              <w:right w:val="single" w:color="000000" w:sz="4" w:space="0"/>
            </w:tcBorders>
            <w:shd w:val="clear" w:color="auto" w:fill="auto"/>
            <w:vAlign w:val="center"/>
          </w:tcPr>
          <w:p w14:paraId="5F87F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62" w:type="dxa"/>
            <w:gridSpan w:val="2"/>
            <w:tcBorders>
              <w:top w:val="single" w:color="000000" w:sz="4" w:space="0"/>
              <w:left w:val="single" w:color="000000" w:sz="4" w:space="0"/>
              <w:bottom w:val="nil"/>
              <w:right w:val="single" w:color="000000" w:sz="4" w:space="0"/>
            </w:tcBorders>
            <w:shd w:val="clear" w:color="auto" w:fill="auto"/>
            <w:vAlign w:val="center"/>
          </w:tcPr>
          <w:p w14:paraId="38BAD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4" w:type="dxa"/>
            <w:gridSpan w:val="2"/>
            <w:tcBorders>
              <w:top w:val="single" w:color="000000" w:sz="4" w:space="0"/>
              <w:left w:val="single" w:color="000000" w:sz="4" w:space="0"/>
              <w:bottom w:val="nil"/>
              <w:right w:val="single" w:color="000000" w:sz="4" w:space="0"/>
            </w:tcBorders>
            <w:shd w:val="clear" w:color="auto" w:fill="auto"/>
            <w:vAlign w:val="center"/>
          </w:tcPr>
          <w:p w14:paraId="619ED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nil"/>
              <w:right w:val="single" w:color="000000" w:sz="4" w:space="0"/>
            </w:tcBorders>
            <w:shd w:val="clear" w:color="auto" w:fill="auto"/>
            <w:vAlign w:val="center"/>
          </w:tcPr>
          <w:p w14:paraId="7DE1E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45" w:type="dxa"/>
            <w:gridSpan w:val="2"/>
            <w:tcBorders>
              <w:top w:val="single" w:color="000000" w:sz="4" w:space="0"/>
              <w:left w:val="single" w:color="000000" w:sz="4" w:space="0"/>
              <w:bottom w:val="nil"/>
              <w:right w:val="single" w:color="000000" w:sz="4" w:space="0"/>
            </w:tcBorders>
            <w:shd w:val="clear" w:color="auto" w:fill="auto"/>
            <w:vAlign w:val="center"/>
          </w:tcPr>
          <w:p w14:paraId="7D83E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8" w:type="dxa"/>
            <w:gridSpan w:val="2"/>
            <w:tcBorders>
              <w:top w:val="single" w:color="000000" w:sz="4" w:space="0"/>
              <w:left w:val="single" w:color="000000" w:sz="4" w:space="0"/>
              <w:bottom w:val="nil"/>
              <w:right w:val="single" w:color="000000" w:sz="4" w:space="0"/>
            </w:tcBorders>
            <w:shd w:val="clear" w:color="auto" w:fill="auto"/>
            <w:vAlign w:val="center"/>
          </w:tcPr>
          <w:p w14:paraId="643E5B8D">
            <w:pPr>
              <w:jc w:val="center"/>
              <w:rPr>
                <w:rFonts w:hint="eastAsia" w:ascii="宋体" w:hAnsi="宋体" w:eastAsia="宋体" w:cs="宋体"/>
                <w:i w:val="0"/>
                <w:iCs w:val="0"/>
                <w:color w:val="000000"/>
                <w:sz w:val="18"/>
                <w:szCs w:val="18"/>
                <w:u w:val="none"/>
              </w:rPr>
            </w:pPr>
          </w:p>
        </w:tc>
      </w:tr>
      <w:tr w14:paraId="244D5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840" w:hRule="atLeast"/>
        </w:trPr>
        <w:tc>
          <w:tcPr>
            <w:tcW w:w="396" w:type="dxa"/>
            <w:vMerge w:val="continue"/>
            <w:tcBorders>
              <w:top w:val="single" w:color="000000" w:sz="4" w:space="0"/>
              <w:left w:val="single" w:color="000000" w:sz="4" w:space="0"/>
              <w:bottom w:val="nil"/>
              <w:right w:val="single" w:color="000000" w:sz="4" w:space="0"/>
            </w:tcBorders>
            <w:shd w:val="clear" w:color="auto" w:fill="auto"/>
            <w:vAlign w:val="center"/>
          </w:tcPr>
          <w:p w14:paraId="726CDAC9">
            <w:pPr>
              <w:jc w:val="center"/>
              <w:rPr>
                <w:rFonts w:hint="eastAsia" w:ascii="宋体" w:hAnsi="宋体" w:eastAsia="宋体" w:cs="宋体"/>
                <w:i w:val="0"/>
                <w:iCs w:val="0"/>
                <w:color w:val="000000"/>
                <w:sz w:val="18"/>
                <w:szCs w:val="18"/>
                <w:u w:val="none"/>
              </w:rPr>
            </w:pPr>
          </w:p>
        </w:tc>
        <w:tc>
          <w:tcPr>
            <w:tcW w:w="8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6655C9D4">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nil"/>
              <w:right w:val="single" w:color="000000" w:sz="4" w:space="0"/>
            </w:tcBorders>
            <w:shd w:val="clear" w:color="auto" w:fill="auto"/>
            <w:vAlign w:val="center"/>
          </w:tcPr>
          <w:p w14:paraId="33AD3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100" w:type="dxa"/>
            <w:gridSpan w:val="2"/>
            <w:tcBorders>
              <w:top w:val="single" w:color="000000" w:sz="4" w:space="0"/>
              <w:left w:val="single" w:color="000000" w:sz="4" w:space="0"/>
              <w:bottom w:val="nil"/>
              <w:right w:val="single" w:color="000000" w:sz="4" w:space="0"/>
            </w:tcBorders>
            <w:shd w:val="clear" w:color="auto" w:fill="auto"/>
            <w:vAlign w:val="center"/>
          </w:tcPr>
          <w:p w14:paraId="45EDF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供暖服务时间</w:t>
            </w:r>
          </w:p>
        </w:tc>
        <w:tc>
          <w:tcPr>
            <w:tcW w:w="655" w:type="dxa"/>
            <w:gridSpan w:val="2"/>
            <w:tcBorders>
              <w:top w:val="single" w:color="000000" w:sz="4" w:space="0"/>
              <w:left w:val="single" w:color="000000" w:sz="4" w:space="0"/>
              <w:bottom w:val="nil"/>
              <w:right w:val="single" w:color="000000" w:sz="4" w:space="0"/>
            </w:tcBorders>
            <w:shd w:val="clear" w:color="auto" w:fill="auto"/>
            <w:vAlign w:val="center"/>
          </w:tcPr>
          <w:p w14:paraId="271FD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3" w:type="dxa"/>
            <w:gridSpan w:val="2"/>
            <w:tcBorders>
              <w:top w:val="single" w:color="000000" w:sz="4" w:space="0"/>
              <w:left w:val="single" w:color="000000" w:sz="4" w:space="0"/>
              <w:bottom w:val="nil"/>
              <w:right w:val="single" w:color="000000" w:sz="4" w:space="0"/>
            </w:tcBorders>
            <w:shd w:val="clear" w:color="auto" w:fill="auto"/>
            <w:vAlign w:val="center"/>
          </w:tcPr>
          <w:p w14:paraId="104B8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576" w:type="dxa"/>
            <w:gridSpan w:val="2"/>
            <w:tcBorders>
              <w:top w:val="single" w:color="000000" w:sz="4" w:space="0"/>
              <w:left w:val="single" w:color="000000" w:sz="4" w:space="0"/>
              <w:bottom w:val="nil"/>
              <w:right w:val="single" w:color="000000" w:sz="4" w:space="0"/>
            </w:tcBorders>
            <w:shd w:val="clear" w:color="auto" w:fill="auto"/>
            <w:vAlign w:val="center"/>
          </w:tcPr>
          <w:p w14:paraId="5CD32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62" w:type="dxa"/>
            <w:gridSpan w:val="2"/>
            <w:tcBorders>
              <w:top w:val="single" w:color="000000" w:sz="4" w:space="0"/>
              <w:left w:val="single" w:color="000000" w:sz="4" w:space="0"/>
              <w:bottom w:val="nil"/>
              <w:right w:val="single" w:color="000000" w:sz="4" w:space="0"/>
            </w:tcBorders>
            <w:shd w:val="clear" w:color="auto" w:fill="auto"/>
            <w:vAlign w:val="center"/>
          </w:tcPr>
          <w:p w14:paraId="5F2C0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74" w:type="dxa"/>
            <w:gridSpan w:val="2"/>
            <w:tcBorders>
              <w:top w:val="single" w:color="000000" w:sz="4" w:space="0"/>
              <w:left w:val="single" w:color="000000" w:sz="4" w:space="0"/>
              <w:bottom w:val="nil"/>
              <w:right w:val="single" w:color="000000" w:sz="4" w:space="0"/>
            </w:tcBorders>
            <w:shd w:val="clear" w:color="auto" w:fill="auto"/>
            <w:vAlign w:val="center"/>
          </w:tcPr>
          <w:p w14:paraId="71DB3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个/月</w:t>
            </w:r>
          </w:p>
        </w:tc>
        <w:tc>
          <w:tcPr>
            <w:tcW w:w="760" w:type="dxa"/>
            <w:tcBorders>
              <w:top w:val="single" w:color="000000" w:sz="4" w:space="0"/>
              <w:left w:val="single" w:color="000000" w:sz="4" w:space="0"/>
              <w:bottom w:val="nil"/>
              <w:right w:val="single" w:color="000000" w:sz="4" w:space="0"/>
            </w:tcBorders>
            <w:shd w:val="clear" w:color="auto" w:fill="auto"/>
            <w:vAlign w:val="center"/>
          </w:tcPr>
          <w:p w14:paraId="6347D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45" w:type="dxa"/>
            <w:gridSpan w:val="2"/>
            <w:tcBorders>
              <w:top w:val="single" w:color="000000" w:sz="4" w:space="0"/>
              <w:left w:val="single" w:color="000000" w:sz="4" w:space="0"/>
              <w:bottom w:val="nil"/>
              <w:right w:val="single" w:color="000000" w:sz="4" w:space="0"/>
            </w:tcBorders>
            <w:shd w:val="clear" w:color="auto" w:fill="auto"/>
            <w:vAlign w:val="center"/>
          </w:tcPr>
          <w:p w14:paraId="2D347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8" w:type="dxa"/>
            <w:gridSpan w:val="2"/>
            <w:tcBorders>
              <w:top w:val="single" w:color="000000" w:sz="4" w:space="0"/>
              <w:left w:val="single" w:color="000000" w:sz="4" w:space="0"/>
              <w:bottom w:val="nil"/>
              <w:right w:val="single" w:color="000000" w:sz="4" w:space="0"/>
            </w:tcBorders>
            <w:shd w:val="clear" w:color="auto" w:fill="auto"/>
            <w:vAlign w:val="center"/>
          </w:tcPr>
          <w:p w14:paraId="38DBFAEC">
            <w:pPr>
              <w:jc w:val="center"/>
              <w:rPr>
                <w:rFonts w:hint="eastAsia" w:ascii="宋体" w:hAnsi="宋体" w:eastAsia="宋体" w:cs="宋体"/>
                <w:i w:val="0"/>
                <w:iCs w:val="0"/>
                <w:color w:val="000000"/>
                <w:sz w:val="18"/>
                <w:szCs w:val="18"/>
                <w:u w:val="none"/>
              </w:rPr>
            </w:pPr>
          </w:p>
        </w:tc>
      </w:tr>
      <w:tr w14:paraId="73425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840" w:hRule="atLeast"/>
        </w:trPr>
        <w:tc>
          <w:tcPr>
            <w:tcW w:w="396" w:type="dxa"/>
            <w:vMerge w:val="continue"/>
            <w:tcBorders>
              <w:top w:val="single" w:color="000000" w:sz="4" w:space="0"/>
              <w:left w:val="single" w:color="000000" w:sz="4" w:space="0"/>
              <w:bottom w:val="nil"/>
              <w:right w:val="single" w:color="000000" w:sz="4" w:space="0"/>
            </w:tcBorders>
            <w:shd w:val="clear" w:color="auto" w:fill="auto"/>
            <w:vAlign w:val="center"/>
          </w:tcPr>
          <w:p w14:paraId="766B6A7D">
            <w:pPr>
              <w:jc w:val="center"/>
              <w:rPr>
                <w:rFonts w:hint="eastAsia" w:ascii="宋体" w:hAnsi="宋体" w:eastAsia="宋体" w:cs="宋体"/>
                <w:i w:val="0"/>
                <w:iCs w:val="0"/>
                <w:color w:val="000000"/>
                <w:sz w:val="18"/>
                <w:szCs w:val="18"/>
                <w:u w:val="none"/>
              </w:rPr>
            </w:pPr>
          </w:p>
        </w:tc>
        <w:tc>
          <w:tcPr>
            <w:tcW w:w="8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3949F460">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nil"/>
              <w:right w:val="single" w:color="000000" w:sz="4" w:space="0"/>
            </w:tcBorders>
            <w:shd w:val="clear" w:color="auto" w:fill="auto"/>
            <w:vAlign w:val="center"/>
          </w:tcPr>
          <w:p w14:paraId="44B00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100" w:type="dxa"/>
            <w:gridSpan w:val="2"/>
            <w:tcBorders>
              <w:top w:val="single" w:color="000000" w:sz="4" w:space="0"/>
              <w:left w:val="single" w:color="000000" w:sz="4" w:space="0"/>
              <w:bottom w:val="nil"/>
              <w:right w:val="single" w:color="000000" w:sz="4" w:space="0"/>
            </w:tcBorders>
            <w:shd w:val="clear" w:color="auto" w:fill="auto"/>
            <w:vAlign w:val="center"/>
          </w:tcPr>
          <w:p w14:paraId="24FD2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供暖费总成本</w:t>
            </w:r>
          </w:p>
        </w:tc>
        <w:tc>
          <w:tcPr>
            <w:tcW w:w="655" w:type="dxa"/>
            <w:gridSpan w:val="2"/>
            <w:tcBorders>
              <w:top w:val="single" w:color="000000" w:sz="4" w:space="0"/>
              <w:left w:val="single" w:color="000000" w:sz="4" w:space="0"/>
              <w:bottom w:val="nil"/>
              <w:right w:val="single" w:color="000000" w:sz="4" w:space="0"/>
            </w:tcBorders>
            <w:shd w:val="clear" w:color="auto" w:fill="auto"/>
            <w:vAlign w:val="center"/>
          </w:tcPr>
          <w:p w14:paraId="0A313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3" w:type="dxa"/>
            <w:gridSpan w:val="2"/>
            <w:tcBorders>
              <w:top w:val="single" w:color="000000" w:sz="4" w:space="0"/>
              <w:left w:val="single" w:color="000000" w:sz="4" w:space="0"/>
              <w:bottom w:val="nil"/>
              <w:right w:val="single" w:color="000000" w:sz="4" w:space="0"/>
            </w:tcBorders>
            <w:shd w:val="clear" w:color="auto" w:fill="auto"/>
            <w:vAlign w:val="center"/>
          </w:tcPr>
          <w:p w14:paraId="05E4D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576" w:type="dxa"/>
            <w:gridSpan w:val="2"/>
            <w:tcBorders>
              <w:top w:val="single" w:color="000000" w:sz="4" w:space="0"/>
              <w:left w:val="single" w:color="000000" w:sz="4" w:space="0"/>
              <w:bottom w:val="nil"/>
              <w:right w:val="single" w:color="000000" w:sz="4" w:space="0"/>
            </w:tcBorders>
            <w:shd w:val="clear" w:color="auto" w:fill="auto"/>
            <w:vAlign w:val="center"/>
          </w:tcPr>
          <w:p w14:paraId="500F2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762" w:type="dxa"/>
            <w:gridSpan w:val="2"/>
            <w:tcBorders>
              <w:top w:val="single" w:color="000000" w:sz="4" w:space="0"/>
              <w:left w:val="single" w:color="000000" w:sz="4" w:space="0"/>
              <w:bottom w:val="nil"/>
              <w:right w:val="single" w:color="000000" w:sz="4" w:space="0"/>
            </w:tcBorders>
            <w:shd w:val="clear" w:color="auto" w:fill="auto"/>
            <w:vAlign w:val="center"/>
          </w:tcPr>
          <w:p w14:paraId="4C6F09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w:t>
            </w:r>
          </w:p>
        </w:tc>
        <w:tc>
          <w:tcPr>
            <w:tcW w:w="674" w:type="dxa"/>
            <w:gridSpan w:val="2"/>
            <w:tcBorders>
              <w:top w:val="single" w:color="000000" w:sz="4" w:space="0"/>
              <w:left w:val="single" w:color="000000" w:sz="4" w:space="0"/>
              <w:bottom w:val="nil"/>
              <w:right w:val="single" w:color="000000" w:sz="4" w:space="0"/>
            </w:tcBorders>
            <w:shd w:val="clear" w:color="auto" w:fill="auto"/>
            <w:vAlign w:val="center"/>
          </w:tcPr>
          <w:p w14:paraId="1FAE5D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760" w:type="dxa"/>
            <w:tcBorders>
              <w:top w:val="single" w:color="000000" w:sz="4" w:space="0"/>
              <w:left w:val="single" w:color="000000" w:sz="4" w:space="0"/>
              <w:bottom w:val="nil"/>
              <w:right w:val="single" w:color="000000" w:sz="4" w:space="0"/>
            </w:tcBorders>
            <w:shd w:val="clear" w:color="auto" w:fill="auto"/>
            <w:vAlign w:val="center"/>
          </w:tcPr>
          <w:p w14:paraId="0D4B84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45" w:type="dxa"/>
            <w:gridSpan w:val="2"/>
            <w:tcBorders>
              <w:top w:val="single" w:color="000000" w:sz="4" w:space="0"/>
              <w:left w:val="single" w:color="000000" w:sz="4" w:space="0"/>
              <w:bottom w:val="nil"/>
              <w:right w:val="single" w:color="000000" w:sz="4" w:space="0"/>
            </w:tcBorders>
            <w:shd w:val="clear" w:color="auto" w:fill="auto"/>
            <w:vAlign w:val="center"/>
          </w:tcPr>
          <w:p w14:paraId="35621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8" w:type="dxa"/>
            <w:gridSpan w:val="2"/>
            <w:tcBorders>
              <w:top w:val="single" w:color="000000" w:sz="4" w:space="0"/>
              <w:left w:val="single" w:color="000000" w:sz="4" w:space="0"/>
              <w:bottom w:val="nil"/>
              <w:right w:val="single" w:color="000000" w:sz="4" w:space="0"/>
            </w:tcBorders>
            <w:shd w:val="clear" w:color="auto" w:fill="auto"/>
            <w:vAlign w:val="center"/>
          </w:tcPr>
          <w:p w14:paraId="5270F699">
            <w:pPr>
              <w:jc w:val="center"/>
              <w:rPr>
                <w:rFonts w:hint="eastAsia" w:ascii="宋体" w:hAnsi="宋体" w:eastAsia="宋体" w:cs="宋体"/>
                <w:i w:val="0"/>
                <w:iCs w:val="0"/>
                <w:color w:val="000000"/>
                <w:sz w:val="18"/>
                <w:szCs w:val="18"/>
                <w:u w:val="none"/>
              </w:rPr>
            </w:pPr>
          </w:p>
        </w:tc>
      </w:tr>
      <w:tr w14:paraId="5FE4D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840" w:hRule="atLeast"/>
        </w:trPr>
        <w:tc>
          <w:tcPr>
            <w:tcW w:w="396" w:type="dxa"/>
            <w:vMerge w:val="continue"/>
            <w:tcBorders>
              <w:top w:val="single" w:color="000000" w:sz="4" w:space="0"/>
              <w:left w:val="single" w:color="000000" w:sz="4" w:space="0"/>
              <w:bottom w:val="nil"/>
              <w:right w:val="single" w:color="000000" w:sz="4" w:space="0"/>
            </w:tcBorders>
            <w:shd w:val="clear" w:color="auto" w:fill="auto"/>
            <w:vAlign w:val="center"/>
          </w:tcPr>
          <w:p w14:paraId="2C8EC838">
            <w:pPr>
              <w:jc w:val="center"/>
              <w:rPr>
                <w:rFonts w:hint="eastAsia" w:ascii="宋体" w:hAnsi="宋体" w:eastAsia="宋体" w:cs="宋体"/>
                <w:i w:val="0"/>
                <w:iCs w:val="0"/>
                <w:color w:val="000000"/>
                <w:sz w:val="18"/>
                <w:szCs w:val="18"/>
                <w:u w:val="none"/>
              </w:rPr>
            </w:pPr>
          </w:p>
        </w:tc>
        <w:tc>
          <w:tcPr>
            <w:tcW w:w="890" w:type="dxa"/>
            <w:gridSpan w:val="3"/>
            <w:vMerge w:val="restart"/>
            <w:tcBorders>
              <w:top w:val="single" w:color="000000" w:sz="4" w:space="0"/>
              <w:left w:val="single" w:color="000000" w:sz="4" w:space="0"/>
              <w:bottom w:val="nil"/>
              <w:right w:val="single" w:color="000000" w:sz="4" w:space="0"/>
            </w:tcBorders>
            <w:shd w:val="clear" w:color="auto" w:fill="auto"/>
            <w:vAlign w:val="center"/>
          </w:tcPr>
          <w:p w14:paraId="6593E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21" w:type="dxa"/>
            <w:gridSpan w:val="2"/>
            <w:tcBorders>
              <w:top w:val="single" w:color="000000" w:sz="4" w:space="0"/>
              <w:left w:val="single" w:color="000000" w:sz="4" w:space="0"/>
              <w:bottom w:val="nil"/>
              <w:right w:val="single" w:color="000000" w:sz="4" w:space="0"/>
            </w:tcBorders>
            <w:shd w:val="clear" w:color="auto" w:fill="auto"/>
            <w:vAlign w:val="center"/>
          </w:tcPr>
          <w:p w14:paraId="64DA2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100" w:type="dxa"/>
            <w:gridSpan w:val="2"/>
            <w:tcBorders>
              <w:top w:val="single" w:color="000000" w:sz="4" w:space="0"/>
              <w:left w:val="single" w:color="000000" w:sz="4" w:space="0"/>
              <w:bottom w:val="nil"/>
              <w:right w:val="single" w:color="000000" w:sz="4" w:space="0"/>
            </w:tcBorders>
            <w:shd w:val="clear" w:color="auto" w:fill="auto"/>
            <w:vAlign w:val="center"/>
          </w:tcPr>
          <w:p w14:paraId="44261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通过供暖服务对改善工作服务环境的提升程度</w:t>
            </w:r>
          </w:p>
        </w:tc>
        <w:tc>
          <w:tcPr>
            <w:tcW w:w="655" w:type="dxa"/>
            <w:gridSpan w:val="2"/>
            <w:tcBorders>
              <w:top w:val="single" w:color="000000" w:sz="4" w:space="0"/>
              <w:left w:val="single" w:color="000000" w:sz="4" w:space="0"/>
              <w:bottom w:val="nil"/>
              <w:right w:val="single" w:color="000000" w:sz="4" w:space="0"/>
            </w:tcBorders>
            <w:shd w:val="clear" w:color="auto" w:fill="auto"/>
            <w:vAlign w:val="center"/>
          </w:tcPr>
          <w:p w14:paraId="4F6D4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803" w:type="dxa"/>
            <w:gridSpan w:val="2"/>
            <w:tcBorders>
              <w:top w:val="single" w:color="000000" w:sz="4" w:space="0"/>
              <w:left w:val="single" w:color="000000" w:sz="4" w:space="0"/>
              <w:bottom w:val="nil"/>
              <w:right w:val="single" w:color="000000" w:sz="4" w:space="0"/>
            </w:tcBorders>
            <w:shd w:val="clear" w:color="auto" w:fill="auto"/>
            <w:vAlign w:val="center"/>
          </w:tcPr>
          <w:p w14:paraId="4AAF49AA">
            <w:pPr>
              <w:jc w:val="center"/>
              <w:rPr>
                <w:rFonts w:hint="eastAsia" w:ascii="宋体" w:hAnsi="宋体" w:eastAsia="宋体" w:cs="宋体"/>
                <w:i w:val="0"/>
                <w:iCs w:val="0"/>
                <w:color w:val="000000"/>
                <w:sz w:val="18"/>
                <w:szCs w:val="18"/>
                <w:u w:val="none"/>
              </w:rPr>
            </w:pPr>
          </w:p>
        </w:tc>
        <w:tc>
          <w:tcPr>
            <w:tcW w:w="576" w:type="dxa"/>
            <w:gridSpan w:val="2"/>
            <w:tcBorders>
              <w:top w:val="single" w:color="000000" w:sz="4" w:space="0"/>
              <w:left w:val="single" w:color="000000" w:sz="4" w:space="0"/>
              <w:bottom w:val="nil"/>
              <w:right w:val="single" w:color="000000" w:sz="4" w:space="0"/>
            </w:tcBorders>
            <w:shd w:val="clear" w:color="auto" w:fill="auto"/>
            <w:vAlign w:val="center"/>
          </w:tcPr>
          <w:p w14:paraId="2DC46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762" w:type="dxa"/>
            <w:gridSpan w:val="2"/>
            <w:tcBorders>
              <w:top w:val="single" w:color="000000" w:sz="4" w:space="0"/>
              <w:left w:val="single" w:color="000000" w:sz="4" w:space="0"/>
              <w:bottom w:val="nil"/>
              <w:right w:val="single" w:color="000000" w:sz="4" w:space="0"/>
            </w:tcBorders>
            <w:shd w:val="clear" w:color="auto" w:fill="auto"/>
            <w:vAlign w:val="center"/>
          </w:tcPr>
          <w:p w14:paraId="1D4AA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674" w:type="dxa"/>
            <w:gridSpan w:val="2"/>
            <w:tcBorders>
              <w:top w:val="single" w:color="000000" w:sz="4" w:space="0"/>
              <w:left w:val="single" w:color="000000" w:sz="4" w:space="0"/>
              <w:bottom w:val="nil"/>
              <w:right w:val="single" w:color="000000" w:sz="4" w:space="0"/>
            </w:tcBorders>
            <w:shd w:val="clear" w:color="auto" w:fill="auto"/>
            <w:vAlign w:val="center"/>
          </w:tcPr>
          <w:p w14:paraId="011FC563">
            <w:pPr>
              <w:jc w:val="center"/>
              <w:rPr>
                <w:rFonts w:hint="eastAsia" w:ascii="宋体" w:hAnsi="宋体" w:eastAsia="宋体" w:cs="宋体"/>
                <w:i w:val="0"/>
                <w:iCs w:val="0"/>
                <w:color w:val="000000"/>
                <w:sz w:val="18"/>
                <w:szCs w:val="18"/>
                <w:u w:val="none"/>
              </w:rPr>
            </w:pPr>
          </w:p>
        </w:tc>
        <w:tc>
          <w:tcPr>
            <w:tcW w:w="760" w:type="dxa"/>
            <w:tcBorders>
              <w:top w:val="single" w:color="000000" w:sz="4" w:space="0"/>
              <w:left w:val="single" w:color="000000" w:sz="4" w:space="0"/>
              <w:bottom w:val="nil"/>
              <w:right w:val="single" w:color="000000" w:sz="4" w:space="0"/>
            </w:tcBorders>
            <w:shd w:val="clear" w:color="auto" w:fill="auto"/>
            <w:vAlign w:val="center"/>
          </w:tcPr>
          <w:p w14:paraId="21D33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45" w:type="dxa"/>
            <w:gridSpan w:val="2"/>
            <w:tcBorders>
              <w:top w:val="single" w:color="000000" w:sz="4" w:space="0"/>
              <w:left w:val="single" w:color="000000" w:sz="4" w:space="0"/>
              <w:bottom w:val="nil"/>
              <w:right w:val="single" w:color="000000" w:sz="4" w:space="0"/>
            </w:tcBorders>
            <w:shd w:val="clear" w:color="auto" w:fill="auto"/>
            <w:vAlign w:val="center"/>
          </w:tcPr>
          <w:p w14:paraId="1BF4E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8" w:type="dxa"/>
            <w:gridSpan w:val="2"/>
            <w:tcBorders>
              <w:top w:val="single" w:color="000000" w:sz="4" w:space="0"/>
              <w:left w:val="single" w:color="000000" w:sz="4" w:space="0"/>
              <w:bottom w:val="nil"/>
              <w:right w:val="single" w:color="000000" w:sz="4" w:space="0"/>
            </w:tcBorders>
            <w:shd w:val="clear" w:color="auto" w:fill="auto"/>
            <w:vAlign w:val="center"/>
          </w:tcPr>
          <w:p w14:paraId="5363E5A2">
            <w:pPr>
              <w:jc w:val="center"/>
              <w:rPr>
                <w:rFonts w:hint="eastAsia" w:ascii="宋体" w:hAnsi="宋体" w:eastAsia="宋体" w:cs="宋体"/>
                <w:i w:val="0"/>
                <w:iCs w:val="0"/>
                <w:color w:val="000000"/>
                <w:sz w:val="18"/>
                <w:szCs w:val="18"/>
                <w:u w:val="none"/>
              </w:rPr>
            </w:pPr>
          </w:p>
        </w:tc>
      </w:tr>
      <w:tr w14:paraId="07257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840" w:hRule="atLeast"/>
        </w:trPr>
        <w:tc>
          <w:tcPr>
            <w:tcW w:w="396" w:type="dxa"/>
            <w:vMerge w:val="continue"/>
            <w:tcBorders>
              <w:top w:val="single" w:color="000000" w:sz="4" w:space="0"/>
              <w:left w:val="single" w:color="000000" w:sz="4" w:space="0"/>
              <w:bottom w:val="nil"/>
              <w:right w:val="single" w:color="000000" w:sz="4" w:space="0"/>
            </w:tcBorders>
            <w:shd w:val="clear" w:color="auto" w:fill="auto"/>
            <w:vAlign w:val="center"/>
          </w:tcPr>
          <w:p w14:paraId="5B57C46B">
            <w:pPr>
              <w:jc w:val="center"/>
              <w:rPr>
                <w:rFonts w:hint="eastAsia" w:ascii="宋体" w:hAnsi="宋体" w:eastAsia="宋体" w:cs="宋体"/>
                <w:i w:val="0"/>
                <w:iCs w:val="0"/>
                <w:color w:val="000000"/>
                <w:sz w:val="18"/>
                <w:szCs w:val="18"/>
                <w:u w:val="none"/>
              </w:rPr>
            </w:pPr>
          </w:p>
        </w:tc>
        <w:tc>
          <w:tcPr>
            <w:tcW w:w="89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14:paraId="0322A0A9">
            <w:pPr>
              <w:jc w:val="center"/>
              <w:rPr>
                <w:rFonts w:hint="eastAsia" w:ascii="宋体" w:hAnsi="宋体" w:eastAsia="宋体" w:cs="宋体"/>
                <w:i w:val="0"/>
                <w:iCs w:val="0"/>
                <w:color w:val="000000"/>
                <w:sz w:val="18"/>
                <w:szCs w:val="18"/>
                <w:u w:val="none"/>
              </w:rPr>
            </w:pPr>
          </w:p>
        </w:tc>
        <w:tc>
          <w:tcPr>
            <w:tcW w:w="821" w:type="dxa"/>
            <w:gridSpan w:val="2"/>
            <w:tcBorders>
              <w:top w:val="single" w:color="000000" w:sz="4" w:space="0"/>
              <w:left w:val="single" w:color="000000" w:sz="4" w:space="0"/>
              <w:bottom w:val="nil"/>
              <w:right w:val="single" w:color="000000" w:sz="4" w:space="0"/>
            </w:tcBorders>
            <w:shd w:val="clear" w:color="auto" w:fill="auto"/>
            <w:vAlign w:val="center"/>
          </w:tcPr>
          <w:p w14:paraId="3C628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1100" w:type="dxa"/>
            <w:gridSpan w:val="2"/>
            <w:tcBorders>
              <w:top w:val="single" w:color="000000" w:sz="4" w:space="0"/>
              <w:left w:val="single" w:color="000000" w:sz="4" w:space="0"/>
              <w:bottom w:val="nil"/>
              <w:right w:val="single" w:color="000000" w:sz="4" w:space="0"/>
            </w:tcBorders>
            <w:shd w:val="clear" w:color="auto" w:fill="auto"/>
            <w:vAlign w:val="center"/>
          </w:tcPr>
          <w:p w14:paraId="693CA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相关机制的健全性</w:t>
            </w:r>
          </w:p>
        </w:tc>
        <w:tc>
          <w:tcPr>
            <w:tcW w:w="655" w:type="dxa"/>
            <w:gridSpan w:val="2"/>
            <w:tcBorders>
              <w:top w:val="single" w:color="000000" w:sz="4" w:space="0"/>
              <w:left w:val="single" w:color="000000" w:sz="4" w:space="0"/>
              <w:bottom w:val="nil"/>
              <w:right w:val="single" w:color="000000" w:sz="4" w:space="0"/>
            </w:tcBorders>
            <w:shd w:val="clear" w:color="auto" w:fill="auto"/>
            <w:vAlign w:val="center"/>
          </w:tcPr>
          <w:p w14:paraId="6B1FA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803" w:type="dxa"/>
            <w:gridSpan w:val="2"/>
            <w:tcBorders>
              <w:top w:val="single" w:color="000000" w:sz="4" w:space="0"/>
              <w:left w:val="single" w:color="000000" w:sz="4" w:space="0"/>
              <w:bottom w:val="nil"/>
              <w:right w:val="single" w:color="000000" w:sz="4" w:space="0"/>
            </w:tcBorders>
            <w:shd w:val="clear" w:color="auto" w:fill="auto"/>
            <w:vAlign w:val="center"/>
          </w:tcPr>
          <w:p w14:paraId="264D2DAE">
            <w:pPr>
              <w:jc w:val="center"/>
              <w:rPr>
                <w:rFonts w:hint="eastAsia" w:ascii="宋体" w:hAnsi="宋体" w:eastAsia="宋体" w:cs="宋体"/>
                <w:i w:val="0"/>
                <w:iCs w:val="0"/>
                <w:color w:val="000000"/>
                <w:sz w:val="18"/>
                <w:szCs w:val="18"/>
                <w:u w:val="none"/>
              </w:rPr>
            </w:pPr>
          </w:p>
        </w:tc>
        <w:tc>
          <w:tcPr>
            <w:tcW w:w="576" w:type="dxa"/>
            <w:gridSpan w:val="2"/>
            <w:tcBorders>
              <w:top w:val="single" w:color="000000" w:sz="4" w:space="0"/>
              <w:left w:val="single" w:color="000000" w:sz="4" w:space="0"/>
              <w:bottom w:val="nil"/>
              <w:right w:val="single" w:color="000000" w:sz="4" w:space="0"/>
            </w:tcBorders>
            <w:shd w:val="clear" w:color="auto" w:fill="auto"/>
            <w:vAlign w:val="center"/>
          </w:tcPr>
          <w:p w14:paraId="22A3D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健全</w:t>
            </w:r>
          </w:p>
        </w:tc>
        <w:tc>
          <w:tcPr>
            <w:tcW w:w="762" w:type="dxa"/>
            <w:gridSpan w:val="2"/>
            <w:tcBorders>
              <w:top w:val="single" w:color="000000" w:sz="4" w:space="0"/>
              <w:left w:val="single" w:color="000000" w:sz="4" w:space="0"/>
              <w:bottom w:val="nil"/>
              <w:right w:val="single" w:color="000000" w:sz="4" w:space="0"/>
            </w:tcBorders>
            <w:shd w:val="clear" w:color="auto" w:fill="auto"/>
            <w:vAlign w:val="center"/>
          </w:tcPr>
          <w:p w14:paraId="00E97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健全</w:t>
            </w:r>
          </w:p>
        </w:tc>
        <w:tc>
          <w:tcPr>
            <w:tcW w:w="674" w:type="dxa"/>
            <w:gridSpan w:val="2"/>
            <w:tcBorders>
              <w:top w:val="single" w:color="000000" w:sz="4" w:space="0"/>
              <w:left w:val="single" w:color="000000" w:sz="4" w:space="0"/>
              <w:bottom w:val="nil"/>
              <w:right w:val="single" w:color="000000" w:sz="4" w:space="0"/>
            </w:tcBorders>
            <w:shd w:val="clear" w:color="auto" w:fill="auto"/>
            <w:vAlign w:val="center"/>
          </w:tcPr>
          <w:p w14:paraId="536E6A4C">
            <w:pPr>
              <w:jc w:val="center"/>
              <w:rPr>
                <w:rFonts w:hint="eastAsia" w:ascii="宋体" w:hAnsi="宋体" w:eastAsia="宋体" w:cs="宋体"/>
                <w:i w:val="0"/>
                <w:iCs w:val="0"/>
                <w:color w:val="000000"/>
                <w:sz w:val="18"/>
                <w:szCs w:val="18"/>
                <w:u w:val="none"/>
              </w:rPr>
            </w:pPr>
          </w:p>
        </w:tc>
        <w:tc>
          <w:tcPr>
            <w:tcW w:w="760" w:type="dxa"/>
            <w:tcBorders>
              <w:top w:val="single" w:color="000000" w:sz="4" w:space="0"/>
              <w:left w:val="single" w:color="000000" w:sz="4" w:space="0"/>
              <w:bottom w:val="nil"/>
              <w:right w:val="single" w:color="000000" w:sz="4" w:space="0"/>
            </w:tcBorders>
            <w:shd w:val="clear" w:color="auto" w:fill="auto"/>
            <w:vAlign w:val="center"/>
          </w:tcPr>
          <w:p w14:paraId="1CB9D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45" w:type="dxa"/>
            <w:gridSpan w:val="2"/>
            <w:tcBorders>
              <w:top w:val="single" w:color="000000" w:sz="4" w:space="0"/>
              <w:left w:val="single" w:color="000000" w:sz="4" w:space="0"/>
              <w:bottom w:val="nil"/>
              <w:right w:val="single" w:color="000000" w:sz="4" w:space="0"/>
            </w:tcBorders>
            <w:shd w:val="clear" w:color="auto" w:fill="auto"/>
            <w:vAlign w:val="center"/>
          </w:tcPr>
          <w:p w14:paraId="19D55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98" w:type="dxa"/>
            <w:gridSpan w:val="2"/>
            <w:tcBorders>
              <w:top w:val="single" w:color="000000" w:sz="4" w:space="0"/>
              <w:left w:val="single" w:color="000000" w:sz="4" w:space="0"/>
              <w:bottom w:val="nil"/>
              <w:right w:val="single" w:color="000000" w:sz="4" w:space="0"/>
            </w:tcBorders>
            <w:shd w:val="clear" w:color="auto" w:fill="auto"/>
            <w:vAlign w:val="center"/>
          </w:tcPr>
          <w:p w14:paraId="0C78C0AD">
            <w:pPr>
              <w:jc w:val="center"/>
              <w:rPr>
                <w:rFonts w:hint="eastAsia" w:ascii="宋体" w:hAnsi="宋体" w:eastAsia="宋体" w:cs="宋体"/>
                <w:i w:val="0"/>
                <w:iCs w:val="0"/>
                <w:color w:val="000000"/>
                <w:sz w:val="18"/>
                <w:szCs w:val="18"/>
                <w:u w:val="none"/>
              </w:rPr>
            </w:pPr>
          </w:p>
        </w:tc>
      </w:tr>
      <w:tr w14:paraId="7F3AC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840" w:hRule="atLeast"/>
        </w:trPr>
        <w:tc>
          <w:tcPr>
            <w:tcW w:w="39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497EF9D5">
            <w:pPr>
              <w:jc w:val="center"/>
              <w:rPr>
                <w:rFonts w:hint="eastAsia" w:ascii="宋体" w:hAnsi="宋体" w:eastAsia="宋体" w:cs="宋体"/>
                <w:i w:val="0"/>
                <w:iCs w:val="0"/>
                <w:color w:val="000000"/>
                <w:sz w:val="18"/>
                <w:szCs w:val="18"/>
                <w:u w:val="none"/>
              </w:rPr>
            </w:pPr>
          </w:p>
        </w:tc>
        <w:tc>
          <w:tcPr>
            <w:tcW w:w="890"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14:paraId="7ADBF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21"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6A91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110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281D5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相关人员满意度</w:t>
            </w:r>
          </w:p>
        </w:tc>
        <w:tc>
          <w:tcPr>
            <w:tcW w:w="6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3F7B8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803"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16C4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57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AF93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6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4D1CC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74"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88E8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60" w:type="dxa"/>
            <w:tcBorders>
              <w:top w:val="single" w:color="000000" w:sz="4" w:space="0"/>
              <w:left w:val="single" w:color="000000" w:sz="4" w:space="0"/>
              <w:bottom w:val="single" w:color="auto" w:sz="4" w:space="0"/>
              <w:right w:val="single" w:color="000000" w:sz="4" w:space="0"/>
            </w:tcBorders>
            <w:shd w:val="clear" w:color="auto" w:fill="auto"/>
            <w:vAlign w:val="center"/>
          </w:tcPr>
          <w:p w14:paraId="027B8F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4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4B432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98"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49106690">
            <w:pPr>
              <w:jc w:val="center"/>
              <w:rPr>
                <w:rFonts w:hint="eastAsia" w:ascii="宋体" w:hAnsi="宋体" w:eastAsia="宋体" w:cs="宋体"/>
                <w:i w:val="0"/>
                <w:iCs w:val="0"/>
                <w:color w:val="000000"/>
                <w:sz w:val="18"/>
                <w:szCs w:val="18"/>
                <w:u w:val="none"/>
              </w:rPr>
            </w:pPr>
          </w:p>
        </w:tc>
      </w:tr>
      <w:tr w14:paraId="2672E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900" w:type="dxa"/>
          <w:trHeight w:val="1296" w:hRule="atLeast"/>
        </w:trPr>
        <w:tc>
          <w:tcPr>
            <w:tcW w:w="6677" w:type="dxa"/>
            <w:gridSpan w:val="18"/>
            <w:tcBorders>
              <w:top w:val="single" w:color="auto" w:sz="4" w:space="0"/>
              <w:left w:val="single" w:color="auto" w:sz="4" w:space="0"/>
              <w:bottom w:val="single" w:color="auto" w:sz="4" w:space="0"/>
              <w:right w:val="single" w:color="auto" w:sz="4" w:space="0"/>
            </w:tcBorders>
            <w:shd w:val="clear" w:color="auto" w:fill="auto"/>
            <w:vAlign w:val="center"/>
          </w:tcPr>
          <w:p w14:paraId="0E38B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14:paraId="78063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E38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9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FF547D">
            <w:pPr>
              <w:jc w:val="center"/>
              <w:rPr>
                <w:rFonts w:hint="eastAsia" w:ascii="宋体" w:hAnsi="宋体" w:eastAsia="宋体" w:cs="宋体"/>
                <w:i w:val="0"/>
                <w:iCs w:val="0"/>
                <w:color w:val="000000"/>
                <w:sz w:val="18"/>
                <w:szCs w:val="18"/>
                <w:u w:val="none"/>
              </w:rPr>
            </w:pPr>
          </w:p>
        </w:tc>
      </w:tr>
      <w:tr w14:paraId="20240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0" w:type="dxa"/>
          <w:trHeight w:val="563" w:hRule="atLeast"/>
        </w:trPr>
        <w:tc>
          <w:tcPr>
            <w:tcW w:w="6677" w:type="dxa"/>
            <w:gridSpan w:val="18"/>
            <w:tcBorders>
              <w:top w:val="single" w:color="auto" w:sz="4" w:space="0"/>
              <w:left w:val="nil"/>
              <w:bottom w:val="nil"/>
              <w:right w:val="nil"/>
            </w:tcBorders>
            <w:shd w:val="clear" w:color="auto" w:fill="auto"/>
            <w:vAlign w:val="center"/>
          </w:tcPr>
          <w:p w14:paraId="0EA6A0C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60" w:type="dxa"/>
            <w:tcBorders>
              <w:top w:val="single" w:color="auto" w:sz="4" w:space="0"/>
              <w:left w:val="nil"/>
              <w:bottom w:val="nil"/>
              <w:right w:val="nil"/>
            </w:tcBorders>
            <w:shd w:val="clear" w:color="auto" w:fill="auto"/>
            <w:vAlign w:val="center"/>
          </w:tcPr>
          <w:p w14:paraId="19E2566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45" w:type="dxa"/>
            <w:gridSpan w:val="2"/>
            <w:tcBorders>
              <w:top w:val="single" w:color="auto" w:sz="4" w:space="0"/>
              <w:left w:val="nil"/>
              <w:bottom w:val="nil"/>
              <w:right w:val="nil"/>
            </w:tcBorders>
            <w:shd w:val="clear" w:color="auto" w:fill="auto"/>
            <w:vAlign w:val="center"/>
          </w:tcPr>
          <w:p w14:paraId="6F90CE4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998" w:type="dxa"/>
            <w:gridSpan w:val="2"/>
            <w:tcBorders>
              <w:top w:val="single" w:color="auto" w:sz="4" w:space="0"/>
              <w:left w:val="nil"/>
              <w:bottom w:val="nil"/>
              <w:right w:val="nil"/>
            </w:tcBorders>
            <w:shd w:val="clear" w:color="auto" w:fill="auto"/>
            <w:vAlign w:val="center"/>
          </w:tcPr>
          <w:p w14:paraId="657FF995">
            <w:pPr>
              <w:jc w:val="center"/>
              <w:rPr>
                <w:rFonts w:hint="eastAsia" w:ascii="宋体" w:hAnsi="宋体" w:eastAsia="宋体" w:cs="宋体"/>
                <w:i w:val="0"/>
                <w:iCs w:val="0"/>
                <w:color w:val="000000"/>
                <w:sz w:val="18"/>
                <w:szCs w:val="18"/>
                <w:u w:val="none"/>
              </w:rPr>
            </w:pPr>
          </w:p>
        </w:tc>
      </w:tr>
      <w:tr w14:paraId="5E9A2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0080"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14:paraId="34D2C76A">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16211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E748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8887"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14:paraId="28B5FF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2023年深化新创工作经费</w:t>
            </w:r>
          </w:p>
        </w:tc>
      </w:tr>
      <w:tr w14:paraId="75748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FA617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87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32CDB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D488F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9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6AE8D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呼和浩特市盲人按摩医院</w:t>
            </w:r>
          </w:p>
        </w:tc>
      </w:tr>
      <w:tr w14:paraId="5E919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21A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0758B">
            <w:pPr>
              <w:rPr>
                <w:rFonts w:hint="eastAsia" w:ascii="宋体" w:hAnsi="宋体" w:eastAsia="宋体" w:cs="宋体"/>
                <w:i w:val="0"/>
                <w:iCs w:val="0"/>
                <w:color w:val="000000"/>
                <w:sz w:val="18"/>
                <w:szCs w:val="18"/>
                <w:u w:val="none"/>
              </w:rPr>
            </w:pP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2E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1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FB7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85D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79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9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AAE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F96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28F7D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ADD99">
            <w:pPr>
              <w:jc w:val="center"/>
              <w:rPr>
                <w:rFonts w:hint="eastAsia" w:ascii="宋体" w:hAnsi="宋体" w:eastAsia="宋体" w:cs="宋体"/>
                <w:i w:val="0"/>
                <w:iCs w:val="0"/>
                <w:color w:val="000000"/>
                <w:sz w:val="18"/>
                <w:szCs w:val="18"/>
                <w:u w:val="none"/>
              </w:rPr>
            </w:pP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EB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1E6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B33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w:t>
            </w:r>
          </w:p>
        </w:tc>
        <w:tc>
          <w:tcPr>
            <w:tcW w:w="1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125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389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9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5A57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F7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2AB25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976A6">
            <w:pPr>
              <w:jc w:val="center"/>
              <w:rPr>
                <w:rFonts w:hint="eastAsia" w:ascii="宋体" w:hAnsi="宋体" w:eastAsia="宋体" w:cs="宋体"/>
                <w:i w:val="0"/>
                <w:iCs w:val="0"/>
                <w:color w:val="000000"/>
                <w:sz w:val="18"/>
                <w:szCs w:val="18"/>
                <w:u w:val="none"/>
              </w:rPr>
            </w:pP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6311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F33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DD7A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w:t>
            </w:r>
          </w:p>
        </w:tc>
        <w:tc>
          <w:tcPr>
            <w:tcW w:w="1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DD7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C452B">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9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B9AE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7776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3FABE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3D172">
            <w:pPr>
              <w:jc w:val="center"/>
              <w:rPr>
                <w:rFonts w:hint="eastAsia" w:ascii="宋体" w:hAnsi="宋体" w:eastAsia="宋体" w:cs="宋体"/>
                <w:i w:val="0"/>
                <w:iCs w:val="0"/>
                <w:color w:val="000000"/>
                <w:sz w:val="18"/>
                <w:szCs w:val="18"/>
                <w:u w:val="none"/>
              </w:rPr>
            </w:pP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A0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17A7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57E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45CE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A472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9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0A3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544E5">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1BEC7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1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E10281">
            <w:pPr>
              <w:jc w:val="center"/>
              <w:rPr>
                <w:rFonts w:hint="eastAsia" w:ascii="宋体" w:hAnsi="宋体" w:eastAsia="宋体" w:cs="宋体"/>
                <w:i w:val="0"/>
                <w:iCs w:val="0"/>
                <w:color w:val="000000"/>
                <w:sz w:val="18"/>
                <w:szCs w:val="18"/>
                <w:u w:val="none"/>
              </w:rPr>
            </w:pP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A3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61F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1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978C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1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46F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E9F6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9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575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91F2E">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31C44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19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243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63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68D6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2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764F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F147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119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40175">
            <w:pPr>
              <w:jc w:val="center"/>
              <w:rPr>
                <w:rFonts w:hint="eastAsia" w:ascii="宋体" w:hAnsi="宋体" w:eastAsia="宋体" w:cs="宋体"/>
                <w:i w:val="0"/>
                <w:iCs w:val="0"/>
                <w:color w:val="000000"/>
                <w:sz w:val="18"/>
                <w:szCs w:val="18"/>
                <w:u w:val="none"/>
              </w:rPr>
            </w:pPr>
          </w:p>
        </w:tc>
        <w:tc>
          <w:tcPr>
            <w:tcW w:w="363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8246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深化安可替代工作，深化信创工作，保障单位工作正常运行</w:t>
            </w:r>
          </w:p>
        </w:tc>
        <w:tc>
          <w:tcPr>
            <w:tcW w:w="525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0909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绩效目标全部完成，提高了工作效率，满足院内人员需求和提高人民满意度，取得了良好社会效益，圆满完成了各项指标任务，得到了全院职工患者的一致好评。    </w:t>
            </w:r>
          </w:p>
        </w:tc>
      </w:tr>
      <w:tr w14:paraId="3D94C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F2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6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B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8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EB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23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7C0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F0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31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FF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56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11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A50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03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06DE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D341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72"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737A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621" w:type="dxa"/>
            <w:vMerge w:val="restart"/>
            <w:tcBorders>
              <w:top w:val="single" w:color="000000" w:sz="4" w:space="0"/>
              <w:left w:val="single" w:color="000000" w:sz="4" w:space="0"/>
              <w:bottom w:val="nil"/>
              <w:right w:val="single" w:color="000000" w:sz="4" w:space="0"/>
            </w:tcBorders>
            <w:shd w:val="clear" w:color="auto" w:fill="auto"/>
            <w:vAlign w:val="center"/>
          </w:tcPr>
          <w:p w14:paraId="7E9B2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83"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32505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09EDB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安可替代数量</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401F8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50868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3012E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03ED14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0EC96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2D92F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3DEEEE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7A8BE7DA">
            <w:pPr>
              <w:jc w:val="center"/>
              <w:rPr>
                <w:rFonts w:hint="eastAsia" w:ascii="宋体" w:hAnsi="宋体" w:eastAsia="宋体" w:cs="宋体"/>
                <w:i w:val="0"/>
                <w:iCs w:val="0"/>
                <w:color w:val="000000"/>
                <w:sz w:val="18"/>
                <w:szCs w:val="18"/>
                <w:u w:val="none"/>
              </w:rPr>
            </w:pPr>
          </w:p>
        </w:tc>
      </w:tr>
      <w:tr w14:paraId="41B0D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32E3051">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4B7AB2EA">
            <w:pPr>
              <w:jc w:val="center"/>
              <w:rPr>
                <w:rFonts w:hint="eastAsia" w:ascii="宋体" w:hAnsi="宋体" w:eastAsia="宋体" w:cs="宋体"/>
                <w:i w:val="0"/>
                <w:iCs w:val="0"/>
                <w:color w:val="000000"/>
                <w:sz w:val="18"/>
                <w:szCs w:val="18"/>
                <w:u w:val="none"/>
              </w:rPr>
            </w:pPr>
          </w:p>
        </w:tc>
        <w:tc>
          <w:tcPr>
            <w:tcW w:w="88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043A60E">
            <w:pPr>
              <w:jc w:val="center"/>
              <w:rPr>
                <w:rFonts w:hint="eastAsia" w:ascii="宋体" w:hAnsi="宋体" w:eastAsia="宋体" w:cs="宋体"/>
                <w:i w:val="0"/>
                <w:iCs w:val="0"/>
                <w:color w:val="000000"/>
                <w:sz w:val="18"/>
                <w:szCs w:val="18"/>
                <w:u w:val="none"/>
              </w:rPr>
            </w:pP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4079F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安可系统数量</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63A4B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4E6FB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4CE5D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4BC14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3BE12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3F866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6D57C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3832E3DC">
            <w:pPr>
              <w:jc w:val="center"/>
              <w:rPr>
                <w:rFonts w:hint="eastAsia" w:ascii="宋体" w:hAnsi="宋体" w:eastAsia="宋体" w:cs="宋体"/>
                <w:i w:val="0"/>
                <w:iCs w:val="0"/>
                <w:color w:val="000000"/>
                <w:sz w:val="18"/>
                <w:szCs w:val="18"/>
                <w:u w:val="none"/>
              </w:rPr>
            </w:pPr>
          </w:p>
        </w:tc>
      </w:tr>
      <w:tr w14:paraId="42457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3D849316">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2A8148D0">
            <w:pPr>
              <w:jc w:val="center"/>
              <w:rPr>
                <w:rFonts w:hint="eastAsia" w:ascii="宋体" w:hAnsi="宋体" w:eastAsia="宋体" w:cs="宋体"/>
                <w:i w:val="0"/>
                <w:iCs w:val="0"/>
                <w:color w:val="000000"/>
                <w:sz w:val="18"/>
                <w:szCs w:val="18"/>
                <w:u w:val="none"/>
              </w:rPr>
            </w:pPr>
          </w:p>
        </w:tc>
        <w:tc>
          <w:tcPr>
            <w:tcW w:w="883"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018DA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13DC8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71DAE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6FD44E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F005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3007B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73B9C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13F134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57FC7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4D04DF66">
            <w:pPr>
              <w:jc w:val="center"/>
              <w:rPr>
                <w:rFonts w:hint="eastAsia" w:ascii="宋体" w:hAnsi="宋体" w:eastAsia="宋体" w:cs="宋体"/>
                <w:i w:val="0"/>
                <w:iCs w:val="0"/>
                <w:color w:val="000000"/>
                <w:sz w:val="18"/>
                <w:szCs w:val="18"/>
                <w:u w:val="none"/>
              </w:rPr>
            </w:pPr>
          </w:p>
        </w:tc>
      </w:tr>
      <w:tr w14:paraId="6D313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71759A5">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28BFA765">
            <w:pPr>
              <w:jc w:val="center"/>
              <w:rPr>
                <w:rFonts w:hint="eastAsia" w:ascii="宋体" w:hAnsi="宋体" w:eastAsia="宋体" w:cs="宋体"/>
                <w:i w:val="0"/>
                <w:iCs w:val="0"/>
                <w:color w:val="000000"/>
                <w:sz w:val="18"/>
                <w:szCs w:val="18"/>
                <w:u w:val="none"/>
              </w:rPr>
            </w:pPr>
          </w:p>
        </w:tc>
        <w:tc>
          <w:tcPr>
            <w:tcW w:w="88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77DCC4DD">
            <w:pPr>
              <w:jc w:val="center"/>
              <w:rPr>
                <w:rFonts w:hint="eastAsia" w:ascii="宋体" w:hAnsi="宋体" w:eastAsia="宋体" w:cs="宋体"/>
                <w:i w:val="0"/>
                <w:iCs w:val="0"/>
                <w:color w:val="000000"/>
                <w:sz w:val="18"/>
                <w:szCs w:val="18"/>
                <w:u w:val="none"/>
              </w:rPr>
            </w:pP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73E9E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资金准备率</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1EE02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2136D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7BEC9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1ED9A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3A22F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5319D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4EBF2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65C2358D">
            <w:pPr>
              <w:jc w:val="center"/>
              <w:rPr>
                <w:rFonts w:hint="eastAsia" w:ascii="宋体" w:hAnsi="宋体" w:eastAsia="宋体" w:cs="宋体"/>
                <w:i w:val="0"/>
                <w:iCs w:val="0"/>
                <w:color w:val="000000"/>
                <w:sz w:val="18"/>
                <w:szCs w:val="18"/>
                <w:u w:val="none"/>
              </w:rPr>
            </w:pPr>
          </w:p>
        </w:tc>
      </w:tr>
      <w:tr w14:paraId="14D1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5B9FAFC8">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64434F9D">
            <w:pPr>
              <w:jc w:val="center"/>
              <w:rPr>
                <w:rFonts w:hint="eastAsia" w:ascii="宋体" w:hAnsi="宋体" w:eastAsia="宋体" w:cs="宋体"/>
                <w:i w:val="0"/>
                <w:iCs w:val="0"/>
                <w:color w:val="000000"/>
                <w:sz w:val="18"/>
                <w:szCs w:val="18"/>
                <w:u w:val="none"/>
              </w:rPr>
            </w:pPr>
          </w:p>
        </w:tc>
        <w:tc>
          <w:tcPr>
            <w:tcW w:w="883"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2E53C3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26B74D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资金发放时间</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25707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1A94C52C">
            <w:pPr>
              <w:jc w:val="center"/>
              <w:rPr>
                <w:rFonts w:hint="eastAsia" w:ascii="宋体" w:hAnsi="宋体" w:eastAsia="宋体" w:cs="宋体"/>
                <w:i w:val="0"/>
                <w:iCs w:val="0"/>
                <w:color w:val="000000"/>
                <w:sz w:val="18"/>
                <w:szCs w:val="18"/>
                <w:u w:val="none"/>
              </w:rPr>
            </w:pP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5ED83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5CBA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62E54930">
            <w:pPr>
              <w:jc w:val="center"/>
              <w:rPr>
                <w:rFonts w:hint="eastAsia" w:ascii="宋体" w:hAnsi="宋体" w:eastAsia="宋体" w:cs="宋体"/>
                <w:i w:val="0"/>
                <w:iCs w:val="0"/>
                <w:color w:val="000000"/>
                <w:sz w:val="18"/>
                <w:szCs w:val="18"/>
                <w:u w:val="none"/>
              </w:rPr>
            </w:pP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0D46D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230C8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45810260">
            <w:pPr>
              <w:jc w:val="center"/>
              <w:rPr>
                <w:rFonts w:hint="eastAsia" w:ascii="宋体" w:hAnsi="宋体" w:eastAsia="宋体" w:cs="宋体"/>
                <w:i w:val="0"/>
                <w:iCs w:val="0"/>
                <w:color w:val="000000"/>
                <w:sz w:val="18"/>
                <w:szCs w:val="18"/>
                <w:u w:val="none"/>
              </w:rPr>
            </w:pPr>
          </w:p>
        </w:tc>
      </w:tr>
      <w:tr w14:paraId="5AD20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8C2DDE5">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47D2AD17">
            <w:pPr>
              <w:jc w:val="center"/>
              <w:rPr>
                <w:rFonts w:hint="eastAsia" w:ascii="宋体" w:hAnsi="宋体" w:eastAsia="宋体" w:cs="宋体"/>
                <w:i w:val="0"/>
                <w:iCs w:val="0"/>
                <w:color w:val="000000"/>
                <w:sz w:val="18"/>
                <w:szCs w:val="18"/>
                <w:u w:val="none"/>
              </w:rPr>
            </w:pPr>
          </w:p>
        </w:tc>
        <w:tc>
          <w:tcPr>
            <w:tcW w:w="88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AB49DD1">
            <w:pPr>
              <w:jc w:val="center"/>
              <w:rPr>
                <w:rFonts w:hint="eastAsia" w:ascii="宋体" w:hAnsi="宋体" w:eastAsia="宋体" w:cs="宋体"/>
                <w:i w:val="0"/>
                <w:iCs w:val="0"/>
                <w:color w:val="000000"/>
                <w:sz w:val="18"/>
                <w:szCs w:val="18"/>
                <w:u w:val="none"/>
              </w:rPr>
            </w:pP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2487C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当年发放</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27AD5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54AD7C3B">
            <w:pPr>
              <w:jc w:val="center"/>
              <w:rPr>
                <w:rFonts w:hint="eastAsia" w:ascii="宋体" w:hAnsi="宋体" w:eastAsia="宋体" w:cs="宋体"/>
                <w:i w:val="0"/>
                <w:iCs w:val="0"/>
                <w:color w:val="000000"/>
                <w:sz w:val="18"/>
                <w:szCs w:val="18"/>
                <w:u w:val="none"/>
              </w:rPr>
            </w:pP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39B6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当年发放</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338F2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当年发放</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31A2226E">
            <w:pPr>
              <w:jc w:val="center"/>
              <w:rPr>
                <w:rFonts w:hint="eastAsia" w:ascii="宋体" w:hAnsi="宋体" w:eastAsia="宋体" w:cs="宋体"/>
                <w:i w:val="0"/>
                <w:iCs w:val="0"/>
                <w:color w:val="000000"/>
                <w:sz w:val="18"/>
                <w:szCs w:val="18"/>
                <w:u w:val="none"/>
              </w:rPr>
            </w:pP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6587F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21E66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4CD97FF1">
            <w:pPr>
              <w:jc w:val="center"/>
              <w:rPr>
                <w:rFonts w:hint="eastAsia" w:ascii="宋体" w:hAnsi="宋体" w:eastAsia="宋体" w:cs="宋体"/>
                <w:i w:val="0"/>
                <w:iCs w:val="0"/>
                <w:color w:val="000000"/>
                <w:sz w:val="18"/>
                <w:szCs w:val="18"/>
                <w:u w:val="none"/>
              </w:rPr>
            </w:pPr>
          </w:p>
        </w:tc>
      </w:tr>
      <w:tr w14:paraId="51BA3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E54301C">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410B46A3">
            <w:pPr>
              <w:jc w:val="center"/>
              <w:rPr>
                <w:rFonts w:hint="eastAsia" w:ascii="宋体" w:hAnsi="宋体" w:eastAsia="宋体" w:cs="宋体"/>
                <w:i w:val="0"/>
                <w:iCs w:val="0"/>
                <w:color w:val="000000"/>
                <w:sz w:val="18"/>
                <w:szCs w:val="18"/>
                <w:u w:val="none"/>
              </w:rPr>
            </w:pPr>
          </w:p>
        </w:tc>
        <w:tc>
          <w:tcPr>
            <w:tcW w:w="883" w:type="dxa"/>
            <w:gridSpan w:val="2"/>
            <w:vMerge w:val="restart"/>
            <w:tcBorders>
              <w:top w:val="single" w:color="000000" w:sz="4" w:space="0"/>
              <w:left w:val="single" w:color="000000" w:sz="4" w:space="0"/>
              <w:bottom w:val="nil"/>
              <w:right w:val="single" w:color="000000" w:sz="4" w:space="0"/>
            </w:tcBorders>
            <w:shd w:val="clear" w:color="auto" w:fill="auto"/>
            <w:vAlign w:val="center"/>
          </w:tcPr>
          <w:p w14:paraId="72EBE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648A9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设备成本</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456A6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6B61C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6A68A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151776</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4EAF1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123200</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5713E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31914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4E4B1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195105B1">
            <w:pPr>
              <w:jc w:val="center"/>
              <w:rPr>
                <w:rFonts w:hint="eastAsia" w:ascii="宋体" w:hAnsi="宋体" w:eastAsia="宋体" w:cs="宋体"/>
                <w:i w:val="0"/>
                <w:iCs w:val="0"/>
                <w:color w:val="000000"/>
                <w:sz w:val="18"/>
                <w:szCs w:val="18"/>
                <w:u w:val="none"/>
              </w:rPr>
            </w:pPr>
          </w:p>
        </w:tc>
      </w:tr>
      <w:tr w14:paraId="60120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462E1381">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31B7D660">
            <w:pPr>
              <w:jc w:val="center"/>
              <w:rPr>
                <w:rFonts w:hint="eastAsia" w:ascii="宋体" w:hAnsi="宋体" w:eastAsia="宋体" w:cs="宋体"/>
                <w:i w:val="0"/>
                <w:iCs w:val="0"/>
                <w:color w:val="000000"/>
                <w:sz w:val="18"/>
                <w:szCs w:val="18"/>
                <w:u w:val="none"/>
              </w:rPr>
            </w:pPr>
          </w:p>
        </w:tc>
        <w:tc>
          <w:tcPr>
            <w:tcW w:w="88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C50EEFD">
            <w:pPr>
              <w:jc w:val="center"/>
              <w:rPr>
                <w:rFonts w:hint="eastAsia" w:ascii="宋体" w:hAnsi="宋体" w:eastAsia="宋体" w:cs="宋体"/>
                <w:i w:val="0"/>
                <w:iCs w:val="0"/>
                <w:color w:val="000000"/>
                <w:sz w:val="18"/>
                <w:szCs w:val="18"/>
                <w:u w:val="none"/>
              </w:rPr>
            </w:pP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70DF5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32DFE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64A18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3FC5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151776</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E6A2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123200</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040FD9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024FA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13AB1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078E8400">
            <w:pPr>
              <w:jc w:val="center"/>
              <w:rPr>
                <w:rFonts w:hint="eastAsia" w:ascii="宋体" w:hAnsi="宋体" w:eastAsia="宋体" w:cs="宋体"/>
                <w:i w:val="0"/>
                <w:iCs w:val="0"/>
                <w:color w:val="000000"/>
                <w:sz w:val="18"/>
                <w:szCs w:val="18"/>
                <w:u w:val="none"/>
              </w:rPr>
            </w:pPr>
          </w:p>
        </w:tc>
      </w:tr>
      <w:tr w14:paraId="49999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69ECDCDF">
            <w:pPr>
              <w:jc w:val="center"/>
              <w:rPr>
                <w:rFonts w:hint="eastAsia" w:ascii="宋体" w:hAnsi="宋体" w:eastAsia="宋体" w:cs="宋体"/>
                <w:i w:val="0"/>
                <w:iCs w:val="0"/>
                <w:color w:val="000000"/>
                <w:sz w:val="18"/>
                <w:szCs w:val="18"/>
                <w:u w:val="none"/>
              </w:rPr>
            </w:pPr>
          </w:p>
        </w:tc>
        <w:tc>
          <w:tcPr>
            <w:tcW w:w="621" w:type="dxa"/>
            <w:vMerge w:val="restart"/>
            <w:tcBorders>
              <w:top w:val="single" w:color="000000" w:sz="4" w:space="0"/>
              <w:left w:val="single" w:color="000000" w:sz="4" w:space="0"/>
              <w:bottom w:val="nil"/>
              <w:right w:val="single" w:color="000000" w:sz="4" w:space="0"/>
            </w:tcBorders>
            <w:shd w:val="clear" w:color="auto" w:fill="auto"/>
            <w:vAlign w:val="center"/>
          </w:tcPr>
          <w:p w14:paraId="792B2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83" w:type="dxa"/>
            <w:gridSpan w:val="2"/>
            <w:tcBorders>
              <w:top w:val="single" w:color="000000" w:sz="4" w:space="0"/>
              <w:left w:val="single" w:color="000000" w:sz="4" w:space="0"/>
              <w:bottom w:val="nil"/>
              <w:right w:val="single" w:color="000000" w:sz="4" w:space="0"/>
            </w:tcBorders>
            <w:shd w:val="clear" w:color="auto" w:fill="auto"/>
            <w:vAlign w:val="center"/>
          </w:tcPr>
          <w:p w14:paraId="7FF4C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55787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深化信创工作</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5B057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65CEF350">
            <w:pPr>
              <w:jc w:val="center"/>
              <w:rPr>
                <w:rFonts w:hint="eastAsia" w:ascii="宋体" w:hAnsi="宋体" w:eastAsia="宋体" w:cs="宋体"/>
                <w:i w:val="0"/>
                <w:iCs w:val="0"/>
                <w:color w:val="000000"/>
                <w:sz w:val="18"/>
                <w:szCs w:val="18"/>
                <w:u w:val="none"/>
              </w:rPr>
            </w:pP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73169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70644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76777ADF">
            <w:pPr>
              <w:jc w:val="center"/>
              <w:rPr>
                <w:rFonts w:hint="eastAsia" w:ascii="宋体" w:hAnsi="宋体" w:eastAsia="宋体" w:cs="宋体"/>
                <w:i w:val="0"/>
                <w:iCs w:val="0"/>
                <w:color w:val="000000"/>
                <w:sz w:val="18"/>
                <w:szCs w:val="18"/>
                <w:u w:val="none"/>
              </w:rPr>
            </w:pP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55F67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5176D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48D0325F">
            <w:pPr>
              <w:jc w:val="center"/>
              <w:rPr>
                <w:rFonts w:hint="eastAsia" w:ascii="宋体" w:hAnsi="宋体" w:eastAsia="宋体" w:cs="宋体"/>
                <w:i w:val="0"/>
                <w:iCs w:val="0"/>
                <w:color w:val="000000"/>
                <w:sz w:val="18"/>
                <w:szCs w:val="18"/>
                <w:u w:val="none"/>
              </w:rPr>
            </w:pPr>
          </w:p>
        </w:tc>
      </w:tr>
      <w:tr w14:paraId="65535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0A9644BA">
            <w:pPr>
              <w:jc w:val="center"/>
              <w:rPr>
                <w:rFonts w:hint="eastAsia" w:ascii="宋体" w:hAnsi="宋体" w:eastAsia="宋体" w:cs="宋体"/>
                <w:i w:val="0"/>
                <w:iCs w:val="0"/>
                <w:color w:val="000000"/>
                <w:sz w:val="18"/>
                <w:szCs w:val="18"/>
                <w:u w:val="none"/>
              </w:rPr>
            </w:pPr>
          </w:p>
        </w:tc>
        <w:tc>
          <w:tcPr>
            <w:tcW w:w="621" w:type="dxa"/>
            <w:vMerge w:val="continue"/>
            <w:tcBorders>
              <w:top w:val="single" w:color="000000" w:sz="4" w:space="0"/>
              <w:left w:val="single" w:color="000000" w:sz="4" w:space="0"/>
              <w:bottom w:val="nil"/>
              <w:right w:val="single" w:color="000000" w:sz="4" w:space="0"/>
            </w:tcBorders>
            <w:shd w:val="clear" w:color="auto" w:fill="auto"/>
            <w:vAlign w:val="center"/>
          </w:tcPr>
          <w:p w14:paraId="72F2D013">
            <w:pPr>
              <w:jc w:val="center"/>
              <w:rPr>
                <w:rFonts w:hint="eastAsia" w:ascii="宋体" w:hAnsi="宋体" w:eastAsia="宋体" w:cs="宋体"/>
                <w:i w:val="0"/>
                <w:iCs w:val="0"/>
                <w:color w:val="000000"/>
                <w:sz w:val="18"/>
                <w:szCs w:val="18"/>
                <w:u w:val="none"/>
              </w:rPr>
            </w:pPr>
          </w:p>
        </w:tc>
        <w:tc>
          <w:tcPr>
            <w:tcW w:w="883" w:type="dxa"/>
            <w:gridSpan w:val="2"/>
            <w:tcBorders>
              <w:top w:val="single" w:color="000000" w:sz="4" w:space="0"/>
              <w:left w:val="single" w:color="000000" w:sz="4" w:space="0"/>
              <w:bottom w:val="nil"/>
              <w:right w:val="single" w:color="000000" w:sz="4" w:space="0"/>
            </w:tcBorders>
            <w:shd w:val="clear" w:color="auto" w:fill="auto"/>
            <w:vAlign w:val="center"/>
          </w:tcPr>
          <w:p w14:paraId="57842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2D70C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单位正常运行</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663A5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442BB499">
            <w:pPr>
              <w:jc w:val="center"/>
              <w:rPr>
                <w:rFonts w:hint="eastAsia" w:ascii="宋体" w:hAnsi="宋体" w:eastAsia="宋体" w:cs="宋体"/>
                <w:i w:val="0"/>
                <w:iCs w:val="0"/>
                <w:color w:val="000000"/>
                <w:sz w:val="18"/>
                <w:szCs w:val="18"/>
                <w:u w:val="none"/>
              </w:rPr>
            </w:pP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1E43E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6DC3F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6B116646">
            <w:pPr>
              <w:jc w:val="center"/>
              <w:rPr>
                <w:rFonts w:hint="eastAsia" w:ascii="宋体" w:hAnsi="宋体" w:eastAsia="宋体" w:cs="宋体"/>
                <w:i w:val="0"/>
                <w:iCs w:val="0"/>
                <w:color w:val="000000"/>
                <w:sz w:val="18"/>
                <w:szCs w:val="18"/>
                <w:u w:val="none"/>
              </w:rPr>
            </w:pP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1CFA0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490A4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4930E8EF">
            <w:pPr>
              <w:jc w:val="center"/>
              <w:rPr>
                <w:rFonts w:hint="eastAsia" w:ascii="宋体" w:hAnsi="宋体" w:eastAsia="宋体" w:cs="宋体"/>
                <w:i w:val="0"/>
                <w:iCs w:val="0"/>
                <w:color w:val="000000"/>
                <w:sz w:val="18"/>
                <w:szCs w:val="18"/>
                <w:u w:val="none"/>
              </w:rPr>
            </w:pPr>
          </w:p>
        </w:tc>
      </w:tr>
      <w:tr w14:paraId="1A48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72" w:type="dxa"/>
            <w:gridSpan w:val="2"/>
            <w:vMerge w:val="continue"/>
            <w:tcBorders>
              <w:top w:val="single" w:color="000000" w:sz="4" w:space="0"/>
              <w:left w:val="single" w:color="000000" w:sz="4" w:space="0"/>
              <w:bottom w:val="nil"/>
              <w:right w:val="single" w:color="000000" w:sz="4" w:space="0"/>
            </w:tcBorders>
            <w:shd w:val="clear" w:color="auto" w:fill="auto"/>
            <w:vAlign w:val="center"/>
          </w:tcPr>
          <w:p w14:paraId="27B0EF87">
            <w:pPr>
              <w:jc w:val="center"/>
              <w:rPr>
                <w:rFonts w:hint="eastAsia" w:ascii="宋体" w:hAnsi="宋体" w:eastAsia="宋体" w:cs="宋体"/>
                <w:i w:val="0"/>
                <w:iCs w:val="0"/>
                <w:color w:val="000000"/>
                <w:sz w:val="18"/>
                <w:szCs w:val="18"/>
                <w:u w:val="none"/>
              </w:rPr>
            </w:pPr>
          </w:p>
        </w:tc>
        <w:tc>
          <w:tcPr>
            <w:tcW w:w="621" w:type="dxa"/>
            <w:tcBorders>
              <w:top w:val="single" w:color="000000" w:sz="4" w:space="0"/>
              <w:left w:val="single" w:color="000000" w:sz="4" w:space="0"/>
              <w:bottom w:val="nil"/>
              <w:right w:val="single" w:color="000000" w:sz="4" w:space="0"/>
            </w:tcBorders>
            <w:shd w:val="clear" w:color="auto" w:fill="auto"/>
            <w:vAlign w:val="center"/>
          </w:tcPr>
          <w:p w14:paraId="50E4A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83" w:type="dxa"/>
            <w:gridSpan w:val="2"/>
            <w:tcBorders>
              <w:top w:val="single" w:color="000000" w:sz="4" w:space="0"/>
              <w:left w:val="single" w:color="000000" w:sz="4" w:space="0"/>
              <w:bottom w:val="nil"/>
              <w:right w:val="single" w:color="000000" w:sz="4" w:space="0"/>
            </w:tcBorders>
            <w:shd w:val="clear" w:color="auto" w:fill="auto"/>
            <w:vAlign w:val="center"/>
          </w:tcPr>
          <w:p w14:paraId="6E32F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877" w:type="dxa"/>
            <w:gridSpan w:val="2"/>
            <w:tcBorders>
              <w:top w:val="single" w:color="000000" w:sz="4" w:space="0"/>
              <w:left w:val="single" w:color="000000" w:sz="4" w:space="0"/>
              <w:bottom w:val="nil"/>
              <w:right w:val="single" w:color="000000" w:sz="4" w:space="0"/>
            </w:tcBorders>
            <w:shd w:val="clear" w:color="auto" w:fill="auto"/>
            <w:vAlign w:val="center"/>
          </w:tcPr>
          <w:p w14:paraId="60B3D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收益对象满意度</w:t>
            </w:r>
          </w:p>
        </w:tc>
        <w:tc>
          <w:tcPr>
            <w:tcW w:w="642" w:type="dxa"/>
            <w:gridSpan w:val="2"/>
            <w:tcBorders>
              <w:top w:val="single" w:color="000000" w:sz="4" w:space="0"/>
              <w:left w:val="single" w:color="000000" w:sz="4" w:space="0"/>
              <w:bottom w:val="nil"/>
              <w:right w:val="single" w:color="000000" w:sz="4" w:space="0"/>
            </w:tcBorders>
            <w:shd w:val="clear" w:color="auto" w:fill="auto"/>
            <w:vAlign w:val="center"/>
          </w:tcPr>
          <w:p w14:paraId="50ABC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475" w:type="dxa"/>
            <w:gridSpan w:val="2"/>
            <w:tcBorders>
              <w:top w:val="single" w:color="000000" w:sz="4" w:space="0"/>
              <w:left w:val="single" w:color="000000" w:sz="4" w:space="0"/>
              <w:bottom w:val="nil"/>
              <w:right w:val="single" w:color="000000" w:sz="4" w:space="0"/>
            </w:tcBorders>
            <w:shd w:val="clear" w:color="auto" w:fill="auto"/>
            <w:vAlign w:val="center"/>
          </w:tcPr>
          <w:p w14:paraId="13546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5B71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56" w:type="dxa"/>
            <w:gridSpan w:val="2"/>
            <w:tcBorders>
              <w:top w:val="single" w:color="000000" w:sz="4" w:space="0"/>
              <w:left w:val="single" w:color="000000" w:sz="4" w:space="0"/>
              <w:bottom w:val="nil"/>
              <w:right w:val="single" w:color="000000" w:sz="4" w:space="0"/>
            </w:tcBorders>
            <w:shd w:val="clear" w:color="auto" w:fill="auto"/>
            <w:vAlign w:val="center"/>
          </w:tcPr>
          <w:p w14:paraId="21BC4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25" w:type="dxa"/>
            <w:gridSpan w:val="2"/>
            <w:tcBorders>
              <w:top w:val="single" w:color="000000" w:sz="4" w:space="0"/>
              <w:left w:val="single" w:color="000000" w:sz="4" w:space="0"/>
              <w:bottom w:val="nil"/>
              <w:right w:val="single" w:color="000000" w:sz="4" w:space="0"/>
            </w:tcBorders>
            <w:shd w:val="clear" w:color="auto" w:fill="auto"/>
            <w:vAlign w:val="center"/>
          </w:tcPr>
          <w:p w14:paraId="36E459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63" w:type="dxa"/>
            <w:gridSpan w:val="3"/>
            <w:tcBorders>
              <w:top w:val="single" w:color="000000" w:sz="4" w:space="0"/>
              <w:left w:val="single" w:color="000000" w:sz="4" w:space="0"/>
              <w:bottom w:val="nil"/>
              <w:right w:val="single" w:color="000000" w:sz="4" w:space="0"/>
            </w:tcBorders>
            <w:shd w:val="clear" w:color="auto" w:fill="auto"/>
            <w:vAlign w:val="center"/>
          </w:tcPr>
          <w:p w14:paraId="44492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8" w:type="dxa"/>
            <w:gridSpan w:val="2"/>
            <w:tcBorders>
              <w:top w:val="single" w:color="000000" w:sz="4" w:space="0"/>
              <w:left w:val="single" w:color="000000" w:sz="4" w:space="0"/>
              <w:bottom w:val="nil"/>
              <w:right w:val="single" w:color="000000" w:sz="4" w:space="0"/>
            </w:tcBorders>
            <w:shd w:val="clear" w:color="auto" w:fill="auto"/>
            <w:vAlign w:val="center"/>
          </w:tcPr>
          <w:p w14:paraId="513C4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02" w:type="dxa"/>
            <w:gridSpan w:val="2"/>
            <w:tcBorders>
              <w:top w:val="single" w:color="000000" w:sz="4" w:space="0"/>
              <w:left w:val="single" w:color="000000" w:sz="4" w:space="0"/>
              <w:bottom w:val="nil"/>
              <w:right w:val="single" w:color="000000" w:sz="4" w:space="0"/>
            </w:tcBorders>
            <w:shd w:val="clear" w:color="auto" w:fill="auto"/>
            <w:vAlign w:val="center"/>
          </w:tcPr>
          <w:p w14:paraId="09105F14">
            <w:pPr>
              <w:jc w:val="center"/>
              <w:rPr>
                <w:rFonts w:hint="eastAsia" w:ascii="宋体" w:hAnsi="宋体" w:eastAsia="宋体" w:cs="宋体"/>
                <w:i w:val="0"/>
                <w:iCs w:val="0"/>
                <w:color w:val="000000"/>
                <w:sz w:val="18"/>
                <w:szCs w:val="18"/>
                <w:u w:val="none"/>
              </w:rPr>
            </w:pPr>
          </w:p>
        </w:tc>
      </w:tr>
      <w:tr w14:paraId="7352A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407"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14:paraId="44B1F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1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436D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9B8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7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3065A">
            <w:pPr>
              <w:jc w:val="center"/>
              <w:rPr>
                <w:rFonts w:hint="eastAsia" w:ascii="宋体" w:hAnsi="宋体" w:eastAsia="宋体" w:cs="宋体"/>
                <w:i w:val="0"/>
                <w:iCs w:val="0"/>
                <w:color w:val="000000"/>
                <w:sz w:val="18"/>
                <w:szCs w:val="18"/>
                <w:u w:val="none"/>
              </w:rPr>
            </w:pPr>
          </w:p>
        </w:tc>
      </w:tr>
    </w:tbl>
    <w:p w14:paraId="63968ECC">
      <w:pPr>
        <w:widowControl/>
        <w:numPr>
          <w:ilvl w:val="0"/>
          <w:numId w:val="0"/>
        </w:numPr>
        <w:spacing w:before="240" w:after="240"/>
        <w:jc w:val="both"/>
        <w:rPr>
          <w:rFonts w:hint="eastAsia" w:asciiTheme="minorEastAsia" w:hAnsiTheme="minorEastAsia" w:eastAsiaTheme="minorEastAsia" w:cstheme="minorEastAsia"/>
          <w:spacing w:val="14"/>
          <w:sz w:val="30"/>
          <w:szCs w:val="30"/>
          <w:lang w:eastAsia="zh-CN"/>
        </w:rPr>
      </w:pPr>
    </w:p>
    <w:tbl>
      <w:tblPr>
        <w:tblStyle w:val="21"/>
        <w:tblW w:w="1007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9"/>
        <w:gridCol w:w="405"/>
        <w:gridCol w:w="972"/>
        <w:gridCol w:w="897"/>
        <w:gridCol w:w="643"/>
        <w:gridCol w:w="923"/>
        <w:gridCol w:w="480"/>
        <w:gridCol w:w="692"/>
        <w:gridCol w:w="486"/>
        <w:gridCol w:w="817"/>
        <w:gridCol w:w="1013"/>
        <w:gridCol w:w="2204"/>
      </w:tblGrid>
      <w:tr w14:paraId="4B947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2" w:hRule="atLeast"/>
        </w:trPr>
        <w:tc>
          <w:tcPr>
            <w:tcW w:w="1007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0E8DDBB">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55514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D33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12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35C25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康复辅助器具机构设施设备配置及租赁试点项目</w:t>
            </w:r>
          </w:p>
        </w:tc>
      </w:tr>
      <w:tr w14:paraId="3CF87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1318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34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5A32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52B5B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5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2ECF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呼和浩特市盲人按摩医院</w:t>
            </w:r>
          </w:p>
        </w:tc>
      </w:tr>
      <w:tr w14:paraId="2E0FB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41E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54DA">
            <w:pPr>
              <w:rPr>
                <w:rFonts w:hint="eastAsia" w:ascii="宋体" w:hAnsi="宋体" w:eastAsia="宋体" w:cs="宋体"/>
                <w:i w:val="0"/>
                <w:iCs w:val="0"/>
                <w:color w:val="000000"/>
                <w:sz w:val="18"/>
                <w:szCs w:val="18"/>
                <w:u w:val="none"/>
              </w:rPr>
            </w:pP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F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34D1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9713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88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61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CF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74F0D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3" w:hRule="atLeast"/>
        </w:trPr>
        <w:tc>
          <w:tcPr>
            <w:tcW w:w="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6107B">
            <w:pPr>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A4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E3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42E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1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041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ED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347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7D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02552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AFB33">
            <w:pPr>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43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0A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66C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1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5DA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8429D">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6E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F2CC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091A3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A9313">
            <w:pPr>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5B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199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22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62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2F4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8A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FD696">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004C6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F61EE">
            <w:pPr>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2E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C51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C2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381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856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DF1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E7E5C">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4E65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F70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39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9CB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52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1E6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C40B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7" w:hRule="atLeast"/>
        </w:trPr>
        <w:tc>
          <w:tcPr>
            <w:tcW w:w="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91704">
            <w:pPr>
              <w:jc w:val="center"/>
              <w:rPr>
                <w:rFonts w:hint="eastAsia" w:ascii="宋体" w:hAnsi="宋体" w:eastAsia="宋体" w:cs="宋体"/>
                <w:i w:val="0"/>
                <w:iCs w:val="0"/>
                <w:color w:val="000000"/>
                <w:sz w:val="18"/>
                <w:szCs w:val="18"/>
                <w:u w:val="none"/>
              </w:rPr>
            </w:pPr>
          </w:p>
        </w:tc>
        <w:tc>
          <w:tcPr>
            <w:tcW w:w="39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DE0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通过租赁的方式让残障人士享受到适用的康复辅具产品和服务增强社会治理能力和参与能力，满足老人残疾人康复服务需求，促进他们回归融入社会。</w:t>
            </w:r>
          </w:p>
        </w:tc>
        <w:tc>
          <w:tcPr>
            <w:tcW w:w="52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1746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绩效目标全部完成，提高患者单位收入，保障残疾人士康复需求，取得了良好社会效益，圆满完成了各项指标任务，得到了全院职工患者的一致好评。</w:t>
            </w:r>
          </w:p>
        </w:tc>
      </w:tr>
      <w:tr w14:paraId="798B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A7D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01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A8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92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53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1B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1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6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D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E3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3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FE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AA3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B00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539" w:type="dxa"/>
            <w:vMerge w:val="restart"/>
            <w:tcBorders>
              <w:top w:val="single" w:color="000000" w:sz="4" w:space="0"/>
              <w:left w:val="single" w:color="000000" w:sz="4" w:space="0"/>
              <w:bottom w:val="nil"/>
              <w:right w:val="single" w:color="000000" w:sz="4" w:space="0"/>
            </w:tcBorders>
            <w:shd w:val="clear" w:color="auto" w:fill="auto"/>
            <w:vAlign w:val="center"/>
          </w:tcPr>
          <w:p w14:paraId="24E35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05" w:type="dxa"/>
            <w:vMerge w:val="restart"/>
            <w:tcBorders>
              <w:top w:val="single" w:color="000000" w:sz="4" w:space="0"/>
              <w:left w:val="single" w:color="000000" w:sz="4" w:space="0"/>
              <w:bottom w:val="nil"/>
              <w:right w:val="single" w:color="000000" w:sz="4" w:space="0"/>
            </w:tcBorders>
            <w:shd w:val="clear" w:color="auto" w:fill="auto"/>
            <w:vAlign w:val="center"/>
          </w:tcPr>
          <w:p w14:paraId="5EAD9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72" w:type="dxa"/>
            <w:vMerge w:val="restart"/>
            <w:tcBorders>
              <w:top w:val="single" w:color="000000" w:sz="4" w:space="0"/>
              <w:left w:val="single" w:color="000000" w:sz="4" w:space="0"/>
              <w:bottom w:val="nil"/>
              <w:right w:val="single" w:color="000000" w:sz="4" w:space="0"/>
            </w:tcBorders>
            <w:shd w:val="clear" w:color="auto" w:fill="auto"/>
            <w:vAlign w:val="center"/>
          </w:tcPr>
          <w:p w14:paraId="28855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3F643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租赁辅具类型</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570D6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16EE7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7C916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1DA6C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6B297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7BEB9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2FB6A1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6EB246F0">
            <w:pPr>
              <w:jc w:val="center"/>
              <w:rPr>
                <w:rFonts w:hint="eastAsia" w:ascii="宋体" w:hAnsi="宋体" w:eastAsia="宋体" w:cs="宋体"/>
                <w:i w:val="0"/>
                <w:iCs w:val="0"/>
                <w:color w:val="000000"/>
                <w:sz w:val="18"/>
                <w:szCs w:val="18"/>
                <w:u w:val="none"/>
              </w:rPr>
            </w:pPr>
          </w:p>
        </w:tc>
      </w:tr>
      <w:tr w14:paraId="1E2E0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39AD4DF4">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66D7043A">
            <w:pPr>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nil"/>
              <w:right w:val="single" w:color="000000" w:sz="4" w:space="0"/>
            </w:tcBorders>
            <w:shd w:val="clear" w:color="auto" w:fill="auto"/>
            <w:vAlign w:val="center"/>
          </w:tcPr>
          <w:p w14:paraId="14137022">
            <w:pPr>
              <w:jc w:val="center"/>
              <w:rPr>
                <w:rFonts w:hint="eastAsia" w:ascii="宋体" w:hAnsi="宋体" w:eastAsia="宋体" w:cs="宋体"/>
                <w:i w:val="0"/>
                <w:iCs w:val="0"/>
                <w:color w:val="000000"/>
                <w:sz w:val="18"/>
                <w:szCs w:val="18"/>
                <w:u w:val="none"/>
              </w:rPr>
            </w:pPr>
          </w:p>
        </w:tc>
        <w:tc>
          <w:tcPr>
            <w:tcW w:w="897" w:type="dxa"/>
            <w:tcBorders>
              <w:top w:val="single" w:color="000000" w:sz="4" w:space="0"/>
              <w:left w:val="single" w:color="000000" w:sz="4" w:space="0"/>
              <w:bottom w:val="nil"/>
              <w:right w:val="single" w:color="000000" w:sz="4" w:space="0"/>
            </w:tcBorders>
            <w:shd w:val="clear" w:color="auto" w:fill="auto"/>
            <w:vAlign w:val="center"/>
          </w:tcPr>
          <w:p w14:paraId="0D0964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康复辅具服务人员</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736ED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05C06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3EDAC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02C55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5C81A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45A0B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0E477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5F8A8FE0">
            <w:pPr>
              <w:jc w:val="center"/>
              <w:rPr>
                <w:rFonts w:hint="eastAsia" w:ascii="宋体" w:hAnsi="宋体" w:eastAsia="宋体" w:cs="宋体"/>
                <w:i w:val="0"/>
                <w:iCs w:val="0"/>
                <w:color w:val="000000"/>
                <w:sz w:val="18"/>
                <w:szCs w:val="18"/>
                <w:u w:val="none"/>
              </w:rPr>
            </w:pPr>
          </w:p>
        </w:tc>
      </w:tr>
      <w:tr w14:paraId="19655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5B3D73EA">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48383F33">
            <w:pPr>
              <w:jc w:val="center"/>
              <w:rPr>
                <w:rFonts w:hint="eastAsia" w:ascii="宋体" w:hAnsi="宋体" w:eastAsia="宋体" w:cs="宋体"/>
                <w:i w:val="0"/>
                <w:iCs w:val="0"/>
                <w:color w:val="000000"/>
                <w:sz w:val="18"/>
                <w:szCs w:val="18"/>
                <w:u w:val="none"/>
              </w:rPr>
            </w:pPr>
          </w:p>
        </w:tc>
        <w:tc>
          <w:tcPr>
            <w:tcW w:w="972" w:type="dxa"/>
            <w:vMerge w:val="restart"/>
            <w:tcBorders>
              <w:top w:val="single" w:color="000000" w:sz="4" w:space="0"/>
              <w:left w:val="single" w:color="000000" w:sz="4" w:space="0"/>
              <w:bottom w:val="nil"/>
              <w:right w:val="single" w:color="000000" w:sz="4" w:space="0"/>
            </w:tcBorders>
            <w:shd w:val="clear" w:color="auto" w:fill="auto"/>
            <w:vAlign w:val="center"/>
          </w:tcPr>
          <w:p w14:paraId="7094D9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0F164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为残疾人提供辅具适配度</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7C8726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05D82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18D40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12E70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46376F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63C97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574BF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4.72</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7433CF1B">
            <w:pPr>
              <w:jc w:val="center"/>
              <w:rPr>
                <w:rFonts w:hint="eastAsia" w:ascii="宋体" w:hAnsi="宋体" w:eastAsia="宋体" w:cs="宋体"/>
                <w:i w:val="0"/>
                <w:iCs w:val="0"/>
                <w:color w:val="000000"/>
                <w:sz w:val="18"/>
                <w:szCs w:val="18"/>
                <w:u w:val="none"/>
              </w:rPr>
            </w:pPr>
          </w:p>
        </w:tc>
      </w:tr>
      <w:tr w14:paraId="17F53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749CA608">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0B62A715">
            <w:pPr>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nil"/>
              <w:right w:val="single" w:color="000000" w:sz="4" w:space="0"/>
            </w:tcBorders>
            <w:shd w:val="clear" w:color="auto" w:fill="auto"/>
            <w:vAlign w:val="center"/>
          </w:tcPr>
          <w:p w14:paraId="1AAFA57B">
            <w:pPr>
              <w:jc w:val="center"/>
              <w:rPr>
                <w:rFonts w:hint="eastAsia" w:ascii="宋体" w:hAnsi="宋体" w:eastAsia="宋体" w:cs="宋体"/>
                <w:i w:val="0"/>
                <w:iCs w:val="0"/>
                <w:color w:val="000000"/>
                <w:sz w:val="18"/>
                <w:szCs w:val="18"/>
                <w:u w:val="none"/>
              </w:rPr>
            </w:pPr>
          </w:p>
        </w:tc>
        <w:tc>
          <w:tcPr>
            <w:tcW w:w="897" w:type="dxa"/>
            <w:tcBorders>
              <w:top w:val="single" w:color="000000" w:sz="4" w:space="0"/>
              <w:left w:val="single" w:color="000000" w:sz="4" w:space="0"/>
              <w:bottom w:val="nil"/>
              <w:right w:val="single" w:color="000000" w:sz="4" w:space="0"/>
            </w:tcBorders>
            <w:shd w:val="clear" w:color="auto" w:fill="auto"/>
            <w:vAlign w:val="center"/>
          </w:tcPr>
          <w:p w14:paraId="59C05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需求人员的方便率</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0185A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5AFADB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4CDF6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09A10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5F31A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67F3A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3C82E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9.44</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61B5EBE9">
            <w:pPr>
              <w:jc w:val="center"/>
              <w:rPr>
                <w:rFonts w:hint="eastAsia" w:ascii="宋体" w:hAnsi="宋体" w:eastAsia="宋体" w:cs="宋体"/>
                <w:i w:val="0"/>
                <w:iCs w:val="0"/>
                <w:color w:val="000000"/>
                <w:sz w:val="18"/>
                <w:szCs w:val="18"/>
                <w:u w:val="none"/>
              </w:rPr>
            </w:pPr>
          </w:p>
        </w:tc>
      </w:tr>
      <w:tr w14:paraId="0FBC6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0BC8D304">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59892CB1">
            <w:pPr>
              <w:jc w:val="center"/>
              <w:rPr>
                <w:rFonts w:hint="eastAsia" w:ascii="宋体" w:hAnsi="宋体" w:eastAsia="宋体" w:cs="宋体"/>
                <w:i w:val="0"/>
                <w:iCs w:val="0"/>
                <w:color w:val="000000"/>
                <w:sz w:val="18"/>
                <w:szCs w:val="18"/>
                <w:u w:val="none"/>
              </w:rPr>
            </w:pPr>
          </w:p>
        </w:tc>
        <w:tc>
          <w:tcPr>
            <w:tcW w:w="972" w:type="dxa"/>
            <w:vMerge w:val="restart"/>
            <w:tcBorders>
              <w:top w:val="single" w:color="000000" w:sz="4" w:space="0"/>
              <w:left w:val="single" w:color="000000" w:sz="4" w:space="0"/>
              <w:bottom w:val="nil"/>
              <w:right w:val="single" w:color="000000" w:sz="4" w:space="0"/>
            </w:tcBorders>
            <w:shd w:val="clear" w:color="auto" w:fill="auto"/>
            <w:vAlign w:val="center"/>
          </w:tcPr>
          <w:p w14:paraId="4F954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0498E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任务完成率</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34786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07112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52B5F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5701D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204E5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145DB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555C4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0D5F5D59">
            <w:pPr>
              <w:jc w:val="center"/>
              <w:rPr>
                <w:rFonts w:hint="eastAsia" w:ascii="宋体" w:hAnsi="宋体" w:eastAsia="宋体" w:cs="宋体"/>
                <w:i w:val="0"/>
                <w:iCs w:val="0"/>
                <w:color w:val="000000"/>
                <w:sz w:val="18"/>
                <w:szCs w:val="18"/>
                <w:u w:val="none"/>
              </w:rPr>
            </w:pPr>
          </w:p>
        </w:tc>
      </w:tr>
      <w:tr w14:paraId="21A5A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5B05BB76">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62D47AB9">
            <w:pPr>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nil"/>
              <w:right w:val="single" w:color="000000" w:sz="4" w:space="0"/>
            </w:tcBorders>
            <w:shd w:val="clear" w:color="auto" w:fill="auto"/>
            <w:vAlign w:val="center"/>
          </w:tcPr>
          <w:p w14:paraId="27E49293">
            <w:pPr>
              <w:jc w:val="center"/>
              <w:rPr>
                <w:rFonts w:hint="eastAsia" w:ascii="宋体" w:hAnsi="宋体" w:eastAsia="宋体" w:cs="宋体"/>
                <w:i w:val="0"/>
                <w:iCs w:val="0"/>
                <w:color w:val="000000"/>
                <w:sz w:val="18"/>
                <w:szCs w:val="18"/>
                <w:u w:val="none"/>
              </w:rPr>
            </w:pPr>
          </w:p>
        </w:tc>
        <w:tc>
          <w:tcPr>
            <w:tcW w:w="897" w:type="dxa"/>
            <w:tcBorders>
              <w:top w:val="single" w:color="000000" w:sz="4" w:space="0"/>
              <w:left w:val="single" w:color="000000" w:sz="4" w:space="0"/>
              <w:bottom w:val="nil"/>
              <w:right w:val="single" w:color="000000" w:sz="4" w:space="0"/>
            </w:tcBorders>
            <w:shd w:val="clear" w:color="auto" w:fill="auto"/>
            <w:vAlign w:val="center"/>
          </w:tcPr>
          <w:p w14:paraId="41E16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项目期限</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24CF5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0D347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3236B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0AAFB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43578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1FC51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4C868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7A5ED457">
            <w:pPr>
              <w:jc w:val="center"/>
              <w:rPr>
                <w:rFonts w:hint="eastAsia" w:ascii="宋体" w:hAnsi="宋体" w:eastAsia="宋体" w:cs="宋体"/>
                <w:i w:val="0"/>
                <w:iCs w:val="0"/>
                <w:color w:val="000000"/>
                <w:sz w:val="18"/>
                <w:szCs w:val="18"/>
                <w:u w:val="none"/>
              </w:rPr>
            </w:pPr>
          </w:p>
        </w:tc>
      </w:tr>
      <w:tr w14:paraId="4AF8B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6ADD97AE">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23294BBE">
            <w:pPr>
              <w:jc w:val="center"/>
              <w:rPr>
                <w:rFonts w:hint="eastAsia" w:ascii="宋体" w:hAnsi="宋体" w:eastAsia="宋体" w:cs="宋体"/>
                <w:i w:val="0"/>
                <w:iCs w:val="0"/>
                <w:color w:val="000000"/>
                <w:sz w:val="18"/>
                <w:szCs w:val="18"/>
                <w:u w:val="none"/>
              </w:rPr>
            </w:pPr>
          </w:p>
        </w:tc>
        <w:tc>
          <w:tcPr>
            <w:tcW w:w="972" w:type="dxa"/>
            <w:vMerge w:val="restart"/>
            <w:tcBorders>
              <w:top w:val="single" w:color="000000" w:sz="4" w:space="0"/>
              <w:left w:val="single" w:color="000000" w:sz="4" w:space="0"/>
              <w:bottom w:val="nil"/>
              <w:right w:val="single" w:color="000000" w:sz="4" w:space="0"/>
            </w:tcBorders>
            <w:shd w:val="clear" w:color="auto" w:fill="auto"/>
            <w:vAlign w:val="center"/>
          </w:tcPr>
          <w:p w14:paraId="75481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40BC6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项目金额</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10D70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437C7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1C51D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5C22B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283A8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19A85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748D2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21953C5A">
            <w:pPr>
              <w:jc w:val="center"/>
              <w:rPr>
                <w:rFonts w:hint="eastAsia" w:ascii="宋体" w:hAnsi="宋体" w:eastAsia="宋体" w:cs="宋体"/>
                <w:i w:val="0"/>
                <w:iCs w:val="0"/>
                <w:color w:val="000000"/>
                <w:sz w:val="18"/>
                <w:szCs w:val="18"/>
                <w:u w:val="none"/>
              </w:rPr>
            </w:pPr>
          </w:p>
        </w:tc>
      </w:tr>
      <w:tr w14:paraId="42696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478E20E9">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161C5B84">
            <w:pPr>
              <w:jc w:val="center"/>
              <w:rPr>
                <w:rFonts w:hint="eastAsia" w:ascii="宋体" w:hAnsi="宋体" w:eastAsia="宋体" w:cs="宋体"/>
                <w:i w:val="0"/>
                <w:iCs w:val="0"/>
                <w:color w:val="000000"/>
                <w:sz w:val="18"/>
                <w:szCs w:val="18"/>
                <w:u w:val="none"/>
              </w:rPr>
            </w:pPr>
          </w:p>
        </w:tc>
        <w:tc>
          <w:tcPr>
            <w:tcW w:w="972" w:type="dxa"/>
            <w:vMerge w:val="continue"/>
            <w:tcBorders>
              <w:top w:val="single" w:color="000000" w:sz="4" w:space="0"/>
              <w:left w:val="single" w:color="000000" w:sz="4" w:space="0"/>
              <w:bottom w:val="nil"/>
              <w:right w:val="single" w:color="000000" w:sz="4" w:space="0"/>
            </w:tcBorders>
            <w:shd w:val="clear" w:color="auto" w:fill="auto"/>
            <w:vAlign w:val="center"/>
          </w:tcPr>
          <w:p w14:paraId="5C8BF6EE">
            <w:pPr>
              <w:jc w:val="center"/>
              <w:rPr>
                <w:rFonts w:hint="eastAsia" w:ascii="宋体" w:hAnsi="宋体" w:eastAsia="宋体" w:cs="宋体"/>
                <w:i w:val="0"/>
                <w:iCs w:val="0"/>
                <w:color w:val="000000"/>
                <w:sz w:val="18"/>
                <w:szCs w:val="18"/>
                <w:u w:val="none"/>
              </w:rPr>
            </w:pPr>
          </w:p>
        </w:tc>
        <w:tc>
          <w:tcPr>
            <w:tcW w:w="897" w:type="dxa"/>
            <w:tcBorders>
              <w:top w:val="single" w:color="000000" w:sz="4" w:space="0"/>
              <w:left w:val="single" w:color="000000" w:sz="4" w:space="0"/>
              <w:bottom w:val="nil"/>
              <w:right w:val="single" w:color="000000" w:sz="4" w:space="0"/>
            </w:tcBorders>
            <w:shd w:val="clear" w:color="auto" w:fill="auto"/>
            <w:vAlign w:val="center"/>
          </w:tcPr>
          <w:p w14:paraId="11044A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需求人员的成本节约率</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2CACB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61929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57D8F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5995D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34162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787E5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7C5D8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4C31F256">
            <w:pPr>
              <w:jc w:val="center"/>
              <w:rPr>
                <w:rFonts w:hint="eastAsia" w:ascii="宋体" w:hAnsi="宋体" w:eastAsia="宋体" w:cs="宋体"/>
                <w:i w:val="0"/>
                <w:iCs w:val="0"/>
                <w:color w:val="000000"/>
                <w:sz w:val="18"/>
                <w:szCs w:val="18"/>
                <w:u w:val="none"/>
              </w:rPr>
            </w:pPr>
          </w:p>
        </w:tc>
      </w:tr>
      <w:tr w14:paraId="1A4D5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43769EF4">
            <w:pPr>
              <w:jc w:val="center"/>
              <w:rPr>
                <w:rFonts w:hint="eastAsia" w:ascii="宋体" w:hAnsi="宋体" w:eastAsia="宋体" w:cs="宋体"/>
                <w:i w:val="0"/>
                <w:iCs w:val="0"/>
                <w:color w:val="000000"/>
                <w:sz w:val="18"/>
                <w:szCs w:val="18"/>
                <w:u w:val="none"/>
              </w:rPr>
            </w:pPr>
          </w:p>
        </w:tc>
        <w:tc>
          <w:tcPr>
            <w:tcW w:w="405" w:type="dxa"/>
            <w:vMerge w:val="restart"/>
            <w:tcBorders>
              <w:top w:val="single" w:color="000000" w:sz="4" w:space="0"/>
              <w:left w:val="single" w:color="000000" w:sz="4" w:space="0"/>
              <w:bottom w:val="nil"/>
              <w:right w:val="single" w:color="000000" w:sz="4" w:space="0"/>
            </w:tcBorders>
            <w:shd w:val="clear" w:color="auto" w:fill="auto"/>
            <w:vAlign w:val="center"/>
          </w:tcPr>
          <w:p w14:paraId="2F8E4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72" w:type="dxa"/>
            <w:tcBorders>
              <w:top w:val="single" w:color="000000" w:sz="4" w:space="0"/>
              <w:left w:val="single" w:color="000000" w:sz="4" w:space="0"/>
              <w:bottom w:val="nil"/>
              <w:right w:val="single" w:color="000000" w:sz="4" w:space="0"/>
            </w:tcBorders>
            <w:shd w:val="clear" w:color="auto" w:fill="auto"/>
            <w:vAlign w:val="center"/>
          </w:tcPr>
          <w:p w14:paraId="60604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48E26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业务提升率</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52EBE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3B06B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80" w:type="dxa"/>
            <w:tcBorders>
              <w:top w:val="single" w:color="000000" w:sz="4" w:space="0"/>
              <w:left w:val="single" w:color="000000" w:sz="4" w:space="0"/>
              <w:bottom w:val="nil"/>
              <w:right w:val="single" w:color="000000" w:sz="4" w:space="0"/>
            </w:tcBorders>
            <w:shd w:val="clear" w:color="auto" w:fill="auto"/>
            <w:vAlign w:val="center"/>
          </w:tcPr>
          <w:p w14:paraId="76C42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2945F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5081A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17" w:type="dxa"/>
            <w:tcBorders>
              <w:top w:val="single" w:color="000000" w:sz="4" w:space="0"/>
              <w:left w:val="single" w:color="000000" w:sz="4" w:space="0"/>
              <w:bottom w:val="nil"/>
              <w:right w:val="single" w:color="000000" w:sz="4" w:space="0"/>
            </w:tcBorders>
            <w:shd w:val="clear" w:color="auto" w:fill="auto"/>
            <w:vAlign w:val="center"/>
          </w:tcPr>
          <w:p w14:paraId="00102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39855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586DB2DD">
            <w:pPr>
              <w:jc w:val="center"/>
              <w:rPr>
                <w:rFonts w:hint="eastAsia" w:ascii="宋体" w:hAnsi="宋体" w:eastAsia="宋体" w:cs="宋体"/>
                <w:i w:val="0"/>
                <w:iCs w:val="0"/>
                <w:color w:val="000000"/>
                <w:sz w:val="18"/>
                <w:szCs w:val="18"/>
                <w:u w:val="none"/>
              </w:rPr>
            </w:pPr>
          </w:p>
        </w:tc>
      </w:tr>
      <w:tr w14:paraId="64028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5640AADB">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6AC3F191">
            <w:pPr>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nil"/>
              <w:right w:val="single" w:color="000000" w:sz="4" w:space="0"/>
            </w:tcBorders>
            <w:shd w:val="clear" w:color="auto" w:fill="auto"/>
            <w:vAlign w:val="center"/>
          </w:tcPr>
          <w:p w14:paraId="7A9C1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18F44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改善残疾人家庭生活环境</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75330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2F4E4F5E">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nil"/>
              <w:right w:val="single" w:color="000000" w:sz="4" w:space="0"/>
            </w:tcBorders>
            <w:shd w:val="clear" w:color="auto" w:fill="auto"/>
            <w:vAlign w:val="center"/>
          </w:tcPr>
          <w:p w14:paraId="61E6A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稳步提升</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02F3B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稳步提升</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3EAC7634">
            <w:pPr>
              <w:jc w:val="center"/>
              <w:rPr>
                <w:rFonts w:hint="eastAsia" w:ascii="宋体" w:hAnsi="宋体" w:eastAsia="宋体" w:cs="宋体"/>
                <w:i w:val="0"/>
                <w:iCs w:val="0"/>
                <w:color w:val="000000"/>
                <w:sz w:val="18"/>
                <w:szCs w:val="18"/>
                <w:u w:val="none"/>
              </w:rPr>
            </w:pPr>
          </w:p>
        </w:tc>
        <w:tc>
          <w:tcPr>
            <w:tcW w:w="817" w:type="dxa"/>
            <w:tcBorders>
              <w:top w:val="single" w:color="000000" w:sz="4" w:space="0"/>
              <w:left w:val="single" w:color="000000" w:sz="4" w:space="0"/>
              <w:bottom w:val="nil"/>
              <w:right w:val="single" w:color="000000" w:sz="4" w:space="0"/>
            </w:tcBorders>
            <w:shd w:val="clear" w:color="auto" w:fill="auto"/>
            <w:vAlign w:val="center"/>
          </w:tcPr>
          <w:p w14:paraId="13BCF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4241B0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6EB68C06">
            <w:pPr>
              <w:jc w:val="center"/>
              <w:rPr>
                <w:rFonts w:hint="eastAsia" w:ascii="宋体" w:hAnsi="宋体" w:eastAsia="宋体" w:cs="宋体"/>
                <w:i w:val="0"/>
                <w:iCs w:val="0"/>
                <w:color w:val="000000"/>
                <w:sz w:val="18"/>
                <w:szCs w:val="18"/>
                <w:u w:val="none"/>
              </w:rPr>
            </w:pPr>
          </w:p>
        </w:tc>
      </w:tr>
      <w:tr w14:paraId="49298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450906B9">
            <w:pPr>
              <w:jc w:val="center"/>
              <w:rPr>
                <w:rFonts w:hint="eastAsia" w:ascii="宋体" w:hAnsi="宋体" w:eastAsia="宋体" w:cs="宋体"/>
                <w:i w:val="0"/>
                <w:iCs w:val="0"/>
                <w:color w:val="000000"/>
                <w:sz w:val="18"/>
                <w:szCs w:val="18"/>
                <w:u w:val="none"/>
              </w:rPr>
            </w:pPr>
          </w:p>
        </w:tc>
        <w:tc>
          <w:tcPr>
            <w:tcW w:w="405" w:type="dxa"/>
            <w:vMerge w:val="continue"/>
            <w:tcBorders>
              <w:top w:val="single" w:color="000000" w:sz="4" w:space="0"/>
              <w:left w:val="single" w:color="000000" w:sz="4" w:space="0"/>
              <w:bottom w:val="nil"/>
              <w:right w:val="single" w:color="000000" w:sz="4" w:space="0"/>
            </w:tcBorders>
            <w:shd w:val="clear" w:color="auto" w:fill="auto"/>
            <w:vAlign w:val="center"/>
          </w:tcPr>
          <w:p w14:paraId="24474718">
            <w:pPr>
              <w:jc w:val="center"/>
              <w:rPr>
                <w:rFonts w:hint="eastAsia" w:ascii="宋体" w:hAnsi="宋体" w:eastAsia="宋体" w:cs="宋体"/>
                <w:i w:val="0"/>
                <w:iCs w:val="0"/>
                <w:color w:val="000000"/>
                <w:sz w:val="18"/>
                <w:szCs w:val="18"/>
                <w:u w:val="none"/>
              </w:rPr>
            </w:pPr>
          </w:p>
        </w:tc>
        <w:tc>
          <w:tcPr>
            <w:tcW w:w="972" w:type="dxa"/>
            <w:tcBorders>
              <w:top w:val="single" w:color="000000" w:sz="4" w:space="0"/>
              <w:left w:val="single" w:color="000000" w:sz="4" w:space="0"/>
              <w:bottom w:val="nil"/>
              <w:right w:val="single" w:color="000000" w:sz="4" w:space="0"/>
            </w:tcBorders>
            <w:shd w:val="clear" w:color="auto" w:fill="auto"/>
            <w:vAlign w:val="center"/>
          </w:tcPr>
          <w:p w14:paraId="5C492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5899C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促进需求人员回归融入社会</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17A1F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14934486">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nil"/>
              <w:right w:val="single" w:color="000000" w:sz="4" w:space="0"/>
            </w:tcBorders>
            <w:shd w:val="clear" w:color="auto" w:fill="auto"/>
            <w:vAlign w:val="center"/>
          </w:tcPr>
          <w:p w14:paraId="634D5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归属感</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7AD4EC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归属感</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5C11576E">
            <w:pPr>
              <w:jc w:val="center"/>
              <w:rPr>
                <w:rFonts w:hint="eastAsia" w:ascii="宋体" w:hAnsi="宋体" w:eastAsia="宋体" w:cs="宋体"/>
                <w:i w:val="0"/>
                <w:iCs w:val="0"/>
                <w:color w:val="000000"/>
                <w:sz w:val="18"/>
                <w:szCs w:val="18"/>
                <w:u w:val="none"/>
              </w:rPr>
            </w:pPr>
          </w:p>
        </w:tc>
        <w:tc>
          <w:tcPr>
            <w:tcW w:w="817" w:type="dxa"/>
            <w:tcBorders>
              <w:top w:val="single" w:color="000000" w:sz="4" w:space="0"/>
              <w:left w:val="single" w:color="000000" w:sz="4" w:space="0"/>
              <w:bottom w:val="nil"/>
              <w:right w:val="single" w:color="000000" w:sz="4" w:space="0"/>
            </w:tcBorders>
            <w:shd w:val="clear" w:color="auto" w:fill="auto"/>
            <w:vAlign w:val="center"/>
          </w:tcPr>
          <w:p w14:paraId="7C3A0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26C66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3A13AC6E">
            <w:pPr>
              <w:jc w:val="center"/>
              <w:rPr>
                <w:rFonts w:hint="eastAsia" w:ascii="宋体" w:hAnsi="宋体" w:eastAsia="宋体" w:cs="宋体"/>
                <w:i w:val="0"/>
                <w:iCs w:val="0"/>
                <w:color w:val="000000"/>
                <w:sz w:val="18"/>
                <w:szCs w:val="18"/>
                <w:u w:val="none"/>
              </w:rPr>
            </w:pPr>
          </w:p>
        </w:tc>
      </w:tr>
      <w:tr w14:paraId="13329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9" w:hRule="atLeast"/>
        </w:trPr>
        <w:tc>
          <w:tcPr>
            <w:tcW w:w="539" w:type="dxa"/>
            <w:vMerge w:val="continue"/>
            <w:tcBorders>
              <w:top w:val="single" w:color="000000" w:sz="4" w:space="0"/>
              <w:left w:val="single" w:color="000000" w:sz="4" w:space="0"/>
              <w:bottom w:val="nil"/>
              <w:right w:val="single" w:color="000000" w:sz="4" w:space="0"/>
            </w:tcBorders>
            <w:shd w:val="clear" w:color="auto" w:fill="auto"/>
            <w:vAlign w:val="center"/>
          </w:tcPr>
          <w:p w14:paraId="557506FE">
            <w:pPr>
              <w:jc w:val="center"/>
              <w:rPr>
                <w:rFonts w:hint="eastAsia" w:ascii="宋体" w:hAnsi="宋体" w:eastAsia="宋体" w:cs="宋体"/>
                <w:i w:val="0"/>
                <w:iCs w:val="0"/>
                <w:color w:val="000000"/>
                <w:sz w:val="18"/>
                <w:szCs w:val="18"/>
                <w:u w:val="none"/>
              </w:rPr>
            </w:pPr>
          </w:p>
        </w:tc>
        <w:tc>
          <w:tcPr>
            <w:tcW w:w="405" w:type="dxa"/>
            <w:tcBorders>
              <w:top w:val="single" w:color="000000" w:sz="4" w:space="0"/>
              <w:left w:val="single" w:color="000000" w:sz="4" w:space="0"/>
              <w:bottom w:val="nil"/>
              <w:right w:val="single" w:color="000000" w:sz="4" w:space="0"/>
            </w:tcBorders>
            <w:shd w:val="clear" w:color="auto" w:fill="auto"/>
            <w:vAlign w:val="center"/>
          </w:tcPr>
          <w:p w14:paraId="3E548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72" w:type="dxa"/>
            <w:tcBorders>
              <w:top w:val="single" w:color="000000" w:sz="4" w:space="0"/>
              <w:left w:val="single" w:color="000000" w:sz="4" w:space="0"/>
              <w:bottom w:val="nil"/>
              <w:right w:val="single" w:color="000000" w:sz="4" w:space="0"/>
            </w:tcBorders>
            <w:shd w:val="clear" w:color="auto" w:fill="auto"/>
            <w:vAlign w:val="center"/>
          </w:tcPr>
          <w:p w14:paraId="1891C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897" w:type="dxa"/>
            <w:tcBorders>
              <w:top w:val="single" w:color="000000" w:sz="4" w:space="0"/>
              <w:left w:val="single" w:color="000000" w:sz="4" w:space="0"/>
              <w:bottom w:val="nil"/>
              <w:right w:val="single" w:color="000000" w:sz="4" w:space="0"/>
            </w:tcBorders>
            <w:shd w:val="clear" w:color="auto" w:fill="auto"/>
            <w:vAlign w:val="center"/>
          </w:tcPr>
          <w:p w14:paraId="42EE5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残疾人及家属对提供适配辅具器具服务满意度</w:t>
            </w:r>
          </w:p>
        </w:tc>
        <w:tc>
          <w:tcPr>
            <w:tcW w:w="643" w:type="dxa"/>
            <w:tcBorders>
              <w:top w:val="single" w:color="000000" w:sz="4" w:space="0"/>
              <w:left w:val="single" w:color="000000" w:sz="4" w:space="0"/>
              <w:bottom w:val="nil"/>
              <w:right w:val="single" w:color="000000" w:sz="4" w:space="0"/>
            </w:tcBorders>
            <w:shd w:val="clear" w:color="auto" w:fill="auto"/>
            <w:vAlign w:val="center"/>
          </w:tcPr>
          <w:p w14:paraId="65F988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23" w:type="dxa"/>
            <w:tcBorders>
              <w:top w:val="single" w:color="000000" w:sz="4" w:space="0"/>
              <w:left w:val="single" w:color="000000" w:sz="4" w:space="0"/>
              <w:bottom w:val="nil"/>
              <w:right w:val="single" w:color="000000" w:sz="4" w:space="0"/>
            </w:tcBorders>
            <w:shd w:val="clear" w:color="auto" w:fill="auto"/>
            <w:vAlign w:val="center"/>
          </w:tcPr>
          <w:p w14:paraId="518A181C">
            <w:pPr>
              <w:jc w:val="center"/>
              <w:rPr>
                <w:rFonts w:hint="eastAsia" w:ascii="宋体" w:hAnsi="宋体" w:eastAsia="宋体" w:cs="宋体"/>
                <w:i w:val="0"/>
                <w:iCs w:val="0"/>
                <w:color w:val="000000"/>
                <w:sz w:val="18"/>
                <w:szCs w:val="18"/>
                <w:u w:val="none"/>
              </w:rPr>
            </w:pPr>
          </w:p>
        </w:tc>
        <w:tc>
          <w:tcPr>
            <w:tcW w:w="480" w:type="dxa"/>
            <w:tcBorders>
              <w:top w:val="single" w:color="000000" w:sz="4" w:space="0"/>
              <w:left w:val="single" w:color="000000" w:sz="4" w:space="0"/>
              <w:bottom w:val="nil"/>
              <w:right w:val="single" w:color="000000" w:sz="4" w:space="0"/>
            </w:tcBorders>
            <w:shd w:val="clear" w:color="auto" w:fill="auto"/>
            <w:vAlign w:val="center"/>
          </w:tcPr>
          <w:p w14:paraId="057CFD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692" w:type="dxa"/>
            <w:tcBorders>
              <w:top w:val="single" w:color="000000" w:sz="4" w:space="0"/>
              <w:left w:val="single" w:color="000000" w:sz="4" w:space="0"/>
              <w:bottom w:val="nil"/>
              <w:right w:val="single" w:color="000000" w:sz="4" w:space="0"/>
            </w:tcBorders>
            <w:shd w:val="clear" w:color="auto" w:fill="auto"/>
            <w:vAlign w:val="center"/>
          </w:tcPr>
          <w:p w14:paraId="4E01C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486" w:type="dxa"/>
            <w:tcBorders>
              <w:top w:val="single" w:color="000000" w:sz="4" w:space="0"/>
              <w:left w:val="single" w:color="000000" w:sz="4" w:space="0"/>
              <w:bottom w:val="nil"/>
              <w:right w:val="single" w:color="000000" w:sz="4" w:space="0"/>
            </w:tcBorders>
            <w:shd w:val="clear" w:color="auto" w:fill="auto"/>
            <w:vAlign w:val="center"/>
          </w:tcPr>
          <w:p w14:paraId="40109446">
            <w:pPr>
              <w:jc w:val="center"/>
              <w:rPr>
                <w:rFonts w:hint="eastAsia" w:ascii="宋体" w:hAnsi="宋体" w:eastAsia="宋体" w:cs="宋体"/>
                <w:i w:val="0"/>
                <w:iCs w:val="0"/>
                <w:color w:val="000000"/>
                <w:sz w:val="18"/>
                <w:szCs w:val="18"/>
                <w:u w:val="none"/>
              </w:rPr>
            </w:pPr>
          </w:p>
        </w:tc>
        <w:tc>
          <w:tcPr>
            <w:tcW w:w="817" w:type="dxa"/>
            <w:tcBorders>
              <w:top w:val="single" w:color="000000" w:sz="4" w:space="0"/>
              <w:left w:val="single" w:color="000000" w:sz="4" w:space="0"/>
              <w:bottom w:val="nil"/>
              <w:right w:val="single" w:color="000000" w:sz="4" w:space="0"/>
            </w:tcBorders>
            <w:shd w:val="clear" w:color="auto" w:fill="auto"/>
            <w:vAlign w:val="center"/>
          </w:tcPr>
          <w:p w14:paraId="39A3D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13" w:type="dxa"/>
            <w:tcBorders>
              <w:top w:val="single" w:color="000000" w:sz="4" w:space="0"/>
              <w:left w:val="single" w:color="000000" w:sz="4" w:space="0"/>
              <w:bottom w:val="nil"/>
              <w:right w:val="single" w:color="000000" w:sz="4" w:space="0"/>
            </w:tcBorders>
            <w:shd w:val="clear" w:color="auto" w:fill="auto"/>
            <w:vAlign w:val="center"/>
          </w:tcPr>
          <w:p w14:paraId="59326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204" w:type="dxa"/>
            <w:tcBorders>
              <w:top w:val="single" w:color="000000" w:sz="4" w:space="0"/>
              <w:left w:val="single" w:color="000000" w:sz="4" w:space="0"/>
              <w:bottom w:val="nil"/>
              <w:right w:val="single" w:color="000000" w:sz="4" w:space="0"/>
            </w:tcBorders>
            <w:shd w:val="clear" w:color="auto" w:fill="auto"/>
            <w:vAlign w:val="center"/>
          </w:tcPr>
          <w:p w14:paraId="1FBFD53F">
            <w:pPr>
              <w:jc w:val="center"/>
              <w:rPr>
                <w:rFonts w:hint="eastAsia" w:ascii="宋体" w:hAnsi="宋体" w:eastAsia="宋体" w:cs="宋体"/>
                <w:i w:val="0"/>
                <w:iCs w:val="0"/>
                <w:color w:val="000000"/>
                <w:sz w:val="18"/>
                <w:szCs w:val="18"/>
                <w:u w:val="none"/>
              </w:rPr>
            </w:pPr>
          </w:p>
        </w:tc>
      </w:tr>
      <w:tr w14:paraId="424D8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trPr>
        <w:tc>
          <w:tcPr>
            <w:tcW w:w="603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97B9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4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4A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98.66</w:t>
            </w:r>
          </w:p>
        </w:tc>
        <w:tc>
          <w:tcPr>
            <w:tcW w:w="22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E2B8">
            <w:pPr>
              <w:jc w:val="center"/>
              <w:rPr>
                <w:rFonts w:hint="eastAsia" w:ascii="宋体" w:hAnsi="宋体" w:eastAsia="宋体" w:cs="宋体"/>
                <w:i w:val="0"/>
                <w:iCs w:val="0"/>
                <w:color w:val="000000"/>
                <w:sz w:val="18"/>
                <w:szCs w:val="18"/>
                <w:u w:val="none"/>
              </w:rPr>
            </w:pPr>
          </w:p>
        </w:tc>
      </w:tr>
    </w:tbl>
    <w:p w14:paraId="289939EB">
      <w:pPr>
        <w:widowControl/>
        <w:numPr>
          <w:ilvl w:val="0"/>
          <w:numId w:val="0"/>
        </w:numPr>
        <w:spacing w:before="240" w:after="240"/>
        <w:rPr>
          <w:rFonts w:hint="eastAsia" w:asciiTheme="minorEastAsia" w:hAnsiTheme="minorEastAsia" w:eastAsiaTheme="minorEastAsia" w:cstheme="minorEastAsia"/>
          <w:spacing w:val="14"/>
          <w:sz w:val="30"/>
          <w:szCs w:val="30"/>
          <w:lang w:eastAsia="zh-CN"/>
        </w:rPr>
      </w:pPr>
    </w:p>
    <w:tbl>
      <w:tblPr>
        <w:tblStyle w:val="21"/>
        <w:tblW w:w="1034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4"/>
        <w:gridCol w:w="555"/>
        <w:gridCol w:w="974"/>
        <w:gridCol w:w="1721"/>
        <w:gridCol w:w="674"/>
        <w:gridCol w:w="973"/>
        <w:gridCol w:w="809"/>
        <w:gridCol w:w="884"/>
        <w:gridCol w:w="765"/>
        <w:gridCol w:w="854"/>
        <w:gridCol w:w="959"/>
        <w:gridCol w:w="770"/>
      </w:tblGrid>
      <w:tr w14:paraId="0A647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034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54BEB34">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566F6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3B78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938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06A3F4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2022年2023年消防维保费</w:t>
            </w:r>
          </w:p>
        </w:tc>
      </w:tr>
      <w:tr w14:paraId="7C4F3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9902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43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C020C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A17A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33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76EA7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呼和浩特市盲人按摩医院</w:t>
            </w:r>
          </w:p>
        </w:tc>
      </w:tr>
      <w:tr w14:paraId="12742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784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5BFD">
            <w:pPr>
              <w:rPr>
                <w:rFonts w:hint="eastAsia" w:ascii="宋体" w:hAnsi="宋体" w:eastAsia="宋体" w:cs="宋体"/>
                <w:i w:val="0"/>
                <w:iCs w:val="0"/>
                <w:color w:val="000000"/>
                <w:sz w:val="18"/>
                <w:szCs w:val="18"/>
                <w:u w:val="none"/>
              </w:rPr>
            </w:pP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A9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1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9C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000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B5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0B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90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7918D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86C6D">
            <w:pPr>
              <w:jc w:val="center"/>
              <w:rPr>
                <w:rFonts w:hint="eastAsia" w:ascii="宋体" w:hAnsi="宋体" w:eastAsia="宋体" w:cs="宋体"/>
                <w:i w:val="0"/>
                <w:iCs w:val="0"/>
                <w:color w:val="000000"/>
                <w:sz w:val="18"/>
                <w:szCs w:val="18"/>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C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F6B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1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EE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FF1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83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9A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10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020EF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65A19">
            <w:pPr>
              <w:jc w:val="center"/>
              <w:rPr>
                <w:rFonts w:hint="eastAsia" w:ascii="宋体" w:hAnsi="宋体" w:eastAsia="宋体" w:cs="宋体"/>
                <w:i w:val="0"/>
                <w:iCs w:val="0"/>
                <w:color w:val="000000"/>
                <w:sz w:val="18"/>
                <w:szCs w:val="18"/>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AD2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3A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1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48C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FEB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C00F4">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23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A5F3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8657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CE4764">
            <w:pPr>
              <w:jc w:val="center"/>
              <w:rPr>
                <w:rFonts w:hint="eastAsia" w:ascii="宋体" w:hAnsi="宋体" w:eastAsia="宋体" w:cs="宋体"/>
                <w:i w:val="0"/>
                <w:iCs w:val="0"/>
                <w:color w:val="000000"/>
                <w:sz w:val="18"/>
                <w:szCs w:val="18"/>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5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595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32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92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B8F2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34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454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0221B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926B6">
            <w:pPr>
              <w:jc w:val="center"/>
              <w:rPr>
                <w:rFonts w:hint="eastAsia" w:ascii="宋体" w:hAnsi="宋体" w:eastAsia="宋体" w:cs="宋体"/>
                <w:i w:val="0"/>
                <w:iCs w:val="0"/>
                <w:color w:val="000000"/>
                <w:sz w:val="18"/>
                <w:szCs w:val="18"/>
                <w:u w:val="none"/>
              </w:rPr>
            </w:pP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2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A78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E73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51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BE5F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8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482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6D3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A697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9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64D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51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E30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42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5FA5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FD89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EFE143">
            <w:pPr>
              <w:jc w:val="center"/>
              <w:rPr>
                <w:rFonts w:hint="eastAsia" w:ascii="宋体" w:hAnsi="宋体" w:eastAsia="宋体" w:cs="宋体"/>
                <w:i w:val="0"/>
                <w:iCs w:val="0"/>
                <w:color w:val="000000"/>
                <w:sz w:val="18"/>
                <w:szCs w:val="18"/>
                <w:u w:val="none"/>
              </w:rPr>
            </w:pPr>
          </w:p>
        </w:tc>
        <w:tc>
          <w:tcPr>
            <w:tcW w:w="51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51C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消防设施的维修保护保障盲人按摩医院患者职工的安全</w:t>
            </w:r>
          </w:p>
        </w:tc>
        <w:tc>
          <w:tcPr>
            <w:tcW w:w="42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0A7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绩效目标全部完成，保障办公场所供安全，满足院内人员需求和提高人民满意度，取得了良好社会效益，圆满完成了各项指标任务，得到了全院职工患者的一致好评。    </w:t>
            </w:r>
          </w:p>
        </w:tc>
      </w:tr>
      <w:tr w14:paraId="527E5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D4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D7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BD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7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F8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A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0D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8D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EA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84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AF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F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E84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649D3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restart"/>
            <w:tcBorders>
              <w:top w:val="single" w:color="000000" w:sz="4" w:space="0"/>
              <w:left w:val="single" w:color="000000" w:sz="4" w:space="0"/>
              <w:bottom w:val="nil"/>
              <w:right w:val="single" w:color="000000" w:sz="4" w:space="0"/>
            </w:tcBorders>
            <w:shd w:val="clear" w:color="auto" w:fill="auto"/>
            <w:vAlign w:val="center"/>
          </w:tcPr>
          <w:p w14:paraId="2D9DB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14:paraId="214BF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974" w:type="dxa"/>
            <w:vMerge w:val="restart"/>
            <w:tcBorders>
              <w:top w:val="single" w:color="000000" w:sz="4" w:space="0"/>
              <w:left w:val="single" w:color="000000" w:sz="4" w:space="0"/>
              <w:bottom w:val="nil"/>
              <w:right w:val="single" w:color="000000" w:sz="4" w:space="0"/>
            </w:tcBorders>
            <w:shd w:val="clear" w:color="auto" w:fill="auto"/>
            <w:vAlign w:val="center"/>
          </w:tcPr>
          <w:p w14:paraId="40948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40354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消防维保年限</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73F0F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1D0D9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532B9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13317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1324C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5DD26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78F304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0197DB9C">
            <w:pPr>
              <w:jc w:val="center"/>
              <w:rPr>
                <w:rFonts w:hint="eastAsia" w:ascii="宋体" w:hAnsi="宋体" w:eastAsia="宋体" w:cs="宋体"/>
                <w:i w:val="0"/>
                <w:iCs w:val="0"/>
                <w:color w:val="000000"/>
                <w:sz w:val="18"/>
                <w:szCs w:val="18"/>
                <w:u w:val="none"/>
              </w:rPr>
            </w:pPr>
          </w:p>
        </w:tc>
      </w:tr>
      <w:tr w14:paraId="0959F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147C5F39">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363F78C7">
            <w:pPr>
              <w:jc w:val="center"/>
              <w:rPr>
                <w:rFonts w:hint="eastAsia" w:ascii="宋体" w:hAnsi="宋体" w:eastAsia="宋体" w:cs="宋体"/>
                <w:i w:val="0"/>
                <w:iCs w:val="0"/>
                <w:color w:val="000000"/>
                <w:sz w:val="18"/>
                <w:szCs w:val="18"/>
                <w:u w:val="none"/>
              </w:rPr>
            </w:pPr>
          </w:p>
        </w:tc>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14:paraId="4EC0C8FA">
            <w:pPr>
              <w:jc w:val="center"/>
              <w:rPr>
                <w:rFonts w:hint="eastAsia" w:ascii="宋体" w:hAnsi="宋体" w:eastAsia="宋体" w:cs="宋体"/>
                <w:i w:val="0"/>
                <w:iCs w:val="0"/>
                <w:color w:val="000000"/>
                <w:sz w:val="18"/>
                <w:szCs w:val="18"/>
                <w:u w:val="none"/>
              </w:rPr>
            </w:pP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1D166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检查消防设施数量</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1A192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02F89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356D7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01FC33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055D4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35135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18CFC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2EBC2B12">
            <w:pPr>
              <w:jc w:val="center"/>
              <w:rPr>
                <w:rFonts w:hint="eastAsia" w:ascii="宋体" w:hAnsi="宋体" w:eastAsia="宋体" w:cs="宋体"/>
                <w:i w:val="0"/>
                <w:iCs w:val="0"/>
                <w:color w:val="000000"/>
                <w:sz w:val="18"/>
                <w:szCs w:val="18"/>
                <w:u w:val="none"/>
              </w:rPr>
            </w:pPr>
          </w:p>
        </w:tc>
      </w:tr>
      <w:tr w14:paraId="44915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6129AACB">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27DBA9E5">
            <w:pPr>
              <w:jc w:val="center"/>
              <w:rPr>
                <w:rFonts w:hint="eastAsia" w:ascii="宋体" w:hAnsi="宋体" w:eastAsia="宋体" w:cs="宋体"/>
                <w:i w:val="0"/>
                <w:iCs w:val="0"/>
                <w:color w:val="000000"/>
                <w:sz w:val="18"/>
                <w:szCs w:val="18"/>
                <w:u w:val="none"/>
              </w:rPr>
            </w:pPr>
          </w:p>
        </w:tc>
        <w:tc>
          <w:tcPr>
            <w:tcW w:w="974" w:type="dxa"/>
            <w:vMerge w:val="restart"/>
            <w:tcBorders>
              <w:top w:val="single" w:color="000000" w:sz="4" w:space="0"/>
              <w:left w:val="single" w:color="000000" w:sz="4" w:space="0"/>
              <w:bottom w:val="nil"/>
              <w:right w:val="single" w:color="000000" w:sz="4" w:space="0"/>
            </w:tcBorders>
            <w:shd w:val="clear" w:color="auto" w:fill="auto"/>
            <w:vAlign w:val="center"/>
          </w:tcPr>
          <w:p w14:paraId="3D541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13E8A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出具消防安全评估报告数量</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63CB8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263AA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37ED7D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2654E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7B81A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份</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0E53A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517DB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74571187">
            <w:pPr>
              <w:jc w:val="center"/>
              <w:rPr>
                <w:rFonts w:hint="eastAsia" w:ascii="宋体" w:hAnsi="宋体" w:eastAsia="宋体" w:cs="宋体"/>
                <w:i w:val="0"/>
                <w:iCs w:val="0"/>
                <w:color w:val="000000"/>
                <w:sz w:val="18"/>
                <w:szCs w:val="18"/>
                <w:u w:val="none"/>
              </w:rPr>
            </w:pPr>
          </w:p>
        </w:tc>
      </w:tr>
      <w:tr w14:paraId="651EE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52ADA8A6">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706EEF12">
            <w:pPr>
              <w:jc w:val="center"/>
              <w:rPr>
                <w:rFonts w:hint="eastAsia" w:ascii="宋体" w:hAnsi="宋体" w:eastAsia="宋体" w:cs="宋体"/>
                <w:i w:val="0"/>
                <w:iCs w:val="0"/>
                <w:color w:val="000000"/>
                <w:sz w:val="18"/>
                <w:szCs w:val="18"/>
                <w:u w:val="none"/>
              </w:rPr>
            </w:pPr>
          </w:p>
        </w:tc>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14:paraId="3B307BB1">
            <w:pPr>
              <w:jc w:val="center"/>
              <w:rPr>
                <w:rFonts w:hint="eastAsia" w:ascii="宋体" w:hAnsi="宋体" w:eastAsia="宋体" w:cs="宋体"/>
                <w:i w:val="0"/>
                <w:iCs w:val="0"/>
                <w:color w:val="000000"/>
                <w:sz w:val="18"/>
                <w:szCs w:val="18"/>
                <w:u w:val="none"/>
              </w:rPr>
            </w:pP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1E31D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消防设施完好率</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07D0D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57D35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09252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02EE5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2ED2D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74ED1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04F66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58038376">
            <w:pPr>
              <w:jc w:val="center"/>
              <w:rPr>
                <w:rFonts w:hint="eastAsia" w:ascii="宋体" w:hAnsi="宋体" w:eastAsia="宋体" w:cs="宋体"/>
                <w:i w:val="0"/>
                <w:iCs w:val="0"/>
                <w:color w:val="000000"/>
                <w:sz w:val="18"/>
                <w:szCs w:val="18"/>
                <w:u w:val="none"/>
              </w:rPr>
            </w:pPr>
          </w:p>
        </w:tc>
      </w:tr>
      <w:tr w14:paraId="327F4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1BB4319C">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39B33E24">
            <w:pPr>
              <w:jc w:val="center"/>
              <w:rPr>
                <w:rFonts w:hint="eastAsia" w:ascii="宋体" w:hAnsi="宋体" w:eastAsia="宋体" w:cs="宋体"/>
                <w:i w:val="0"/>
                <w:iCs w:val="0"/>
                <w:color w:val="000000"/>
                <w:sz w:val="18"/>
                <w:szCs w:val="18"/>
                <w:u w:val="none"/>
              </w:rPr>
            </w:pPr>
          </w:p>
        </w:tc>
        <w:tc>
          <w:tcPr>
            <w:tcW w:w="974" w:type="dxa"/>
            <w:vMerge w:val="restart"/>
            <w:tcBorders>
              <w:top w:val="single" w:color="000000" w:sz="4" w:space="0"/>
              <w:left w:val="single" w:color="000000" w:sz="4" w:space="0"/>
              <w:bottom w:val="nil"/>
              <w:right w:val="single" w:color="000000" w:sz="4" w:space="0"/>
            </w:tcBorders>
            <w:shd w:val="clear" w:color="auto" w:fill="auto"/>
            <w:vAlign w:val="center"/>
          </w:tcPr>
          <w:p w14:paraId="54184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457B7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消防维保有效年限</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66CB1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04B26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2B687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7C342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09F1F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6F98E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1040E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13EC919D">
            <w:pPr>
              <w:jc w:val="center"/>
              <w:rPr>
                <w:rFonts w:hint="eastAsia" w:ascii="宋体" w:hAnsi="宋体" w:eastAsia="宋体" w:cs="宋体"/>
                <w:i w:val="0"/>
                <w:iCs w:val="0"/>
                <w:color w:val="000000"/>
                <w:sz w:val="18"/>
                <w:szCs w:val="18"/>
                <w:u w:val="none"/>
              </w:rPr>
            </w:pPr>
          </w:p>
        </w:tc>
      </w:tr>
      <w:tr w14:paraId="410C0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306AD019">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1DD69502">
            <w:pPr>
              <w:jc w:val="center"/>
              <w:rPr>
                <w:rFonts w:hint="eastAsia" w:ascii="宋体" w:hAnsi="宋体" w:eastAsia="宋体" w:cs="宋体"/>
                <w:i w:val="0"/>
                <w:iCs w:val="0"/>
                <w:color w:val="000000"/>
                <w:sz w:val="18"/>
                <w:szCs w:val="18"/>
                <w:u w:val="none"/>
              </w:rPr>
            </w:pPr>
          </w:p>
        </w:tc>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14:paraId="15C70954">
            <w:pPr>
              <w:jc w:val="center"/>
              <w:rPr>
                <w:rFonts w:hint="eastAsia" w:ascii="宋体" w:hAnsi="宋体" w:eastAsia="宋体" w:cs="宋体"/>
                <w:i w:val="0"/>
                <w:iCs w:val="0"/>
                <w:color w:val="000000"/>
                <w:sz w:val="18"/>
                <w:szCs w:val="18"/>
                <w:u w:val="none"/>
              </w:rPr>
            </w:pP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5AA18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消防安全评估报告按时完成率</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04E78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5F867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19C23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1114A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50BD0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5052F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196F56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70BB8106">
            <w:pPr>
              <w:jc w:val="center"/>
              <w:rPr>
                <w:rFonts w:hint="eastAsia" w:ascii="宋体" w:hAnsi="宋体" w:eastAsia="宋体" w:cs="宋体"/>
                <w:i w:val="0"/>
                <w:iCs w:val="0"/>
                <w:color w:val="000000"/>
                <w:sz w:val="18"/>
                <w:szCs w:val="18"/>
                <w:u w:val="none"/>
              </w:rPr>
            </w:pPr>
          </w:p>
        </w:tc>
      </w:tr>
      <w:tr w14:paraId="468B0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48749A9F">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6F45CAE1">
            <w:pPr>
              <w:jc w:val="center"/>
              <w:rPr>
                <w:rFonts w:hint="eastAsia" w:ascii="宋体" w:hAnsi="宋体" w:eastAsia="宋体" w:cs="宋体"/>
                <w:i w:val="0"/>
                <w:iCs w:val="0"/>
                <w:color w:val="000000"/>
                <w:sz w:val="18"/>
                <w:szCs w:val="18"/>
                <w:u w:val="none"/>
              </w:rPr>
            </w:pPr>
          </w:p>
        </w:tc>
        <w:tc>
          <w:tcPr>
            <w:tcW w:w="974" w:type="dxa"/>
            <w:vMerge w:val="restart"/>
            <w:tcBorders>
              <w:top w:val="single" w:color="000000" w:sz="4" w:space="0"/>
              <w:left w:val="single" w:color="000000" w:sz="4" w:space="0"/>
              <w:bottom w:val="nil"/>
              <w:right w:val="single" w:color="000000" w:sz="4" w:space="0"/>
            </w:tcBorders>
            <w:shd w:val="clear" w:color="auto" w:fill="auto"/>
            <w:vAlign w:val="center"/>
          </w:tcPr>
          <w:p w14:paraId="5DED2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27821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保证单位正常运行</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3E51F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0A4C5041">
            <w:pPr>
              <w:jc w:val="center"/>
              <w:rPr>
                <w:rFonts w:hint="eastAsia" w:ascii="宋体" w:hAnsi="宋体" w:eastAsia="宋体" w:cs="宋体"/>
                <w:i w:val="0"/>
                <w:iCs w:val="0"/>
                <w:color w:val="000000"/>
                <w:sz w:val="18"/>
                <w:szCs w:val="18"/>
                <w:u w:val="none"/>
              </w:rPr>
            </w:pPr>
          </w:p>
        </w:tc>
        <w:tc>
          <w:tcPr>
            <w:tcW w:w="809" w:type="dxa"/>
            <w:tcBorders>
              <w:top w:val="single" w:color="000000" w:sz="4" w:space="0"/>
              <w:left w:val="single" w:color="000000" w:sz="4" w:space="0"/>
              <w:bottom w:val="nil"/>
              <w:right w:val="single" w:color="000000" w:sz="4" w:space="0"/>
            </w:tcBorders>
            <w:shd w:val="clear" w:color="auto" w:fill="auto"/>
            <w:vAlign w:val="center"/>
          </w:tcPr>
          <w:p w14:paraId="2EB35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正常</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66749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正常</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33328A0E">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vAlign w:val="center"/>
          </w:tcPr>
          <w:p w14:paraId="76A17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254DD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4B7EBA23">
            <w:pPr>
              <w:jc w:val="center"/>
              <w:rPr>
                <w:rFonts w:hint="eastAsia" w:ascii="宋体" w:hAnsi="宋体" w:eastAsia="宋体" w:cs="宋体"/>
                <w:i w:val="0"/>
                <w:iCs w:val="0"/>
                <w:color w:val="000000"/>
                <w:sz w:val="18"/>
                <w:szCs w:val="18"/>
                <w:u w:val="none"/>
              </w:rPr>
            </w:pPr>
          </w:p>
        </w:tc>
      </w:tr>
      <w:tr w14:paraId="6A67D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50C214F6">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1561669A">
            <w:pPr>
              <w:jc w:val="center"/>
              <w:rPr>
                <w:rFonts w:hint="eastAsia" w:ascii="宋体" w:hAnsi="宋体" w:eastAsia="宋体" w:cs="宋体"/>
                <w:i w:val="0"/>
                <w:iCs w:val="0"/>
                <w:color w:val="000000"/>
                <w:sz w:val="18"/>
                <w:szCs w:val="18"/>
                <w:u w:val="none"/>
              </w:rPr>
            </w:pPr>
          </w:p>
        </w:tc>
        <w:tc>
          <w:tcPr>
            <w:tcW w:w="974" w:type="dxa"/>
            <w:vMerge w:val="continue"/>
            <w:tcBorders>
              <w:top w:val="single" w:color="000000" w:sz="4" w:space="0"/>
              <w:left w:val="single" w:color="000000" w:sz="4" w:space="0"/>
              <w:bottom w:val="nil"/>
              <w:right w:val="single" w:color="000000" w:sz="4" w:space="0"/>
            </w:tcBorders>
            <w:shd w:val="clear" w:color="auto" w:fill="auto"/>
            <w:vAlign w:val="center"/>
          </w:tcPr>
          <w:p w14:paraId="2B279F71">
            <w:pPr>
              <w:jc w:val="center"/>
              <w:rPr>
                <w:rFonts w:hint="eastAsia" w:ascii="宋体" w:hAnsi="宋体" w:eastAsia="宋体" w:cs="宋体"/>
                <w:i w:val="0"/>
                <w:iCs w:val="0"/>
                <w:color w:val="000000"/>
                <w:sz w:val="18"/>
                <w:szCs w:val="18"/>
                <w:u w:val="none"/>
              </w:rPr>
            </w:pP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3F979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消防维保费用</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179D2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67BDEE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09678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3B7B7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01E15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737CA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1C478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0EE36E68">
            <w:pPr>
              <w:jc w:val="center"/>
              <w:rPr>
                <w:rFonts w:hint="eastAsia" w:ascii="宋体" w:hAnsi="宋体" w:eastAsia="宋体" w:cs="宋体"/>
                <w:i w:val="0"/>
                <w:iCs w:val="0"/>
                <w:color w:val="000000"/>
                <w:sz w:val="18"/>
                <w:szCs w:val="18"/>
                <w:u w:val="none"/>
              </w:rPr>
            </w:pPr>
          </w:p>
        </w:tc>
      </w:tr>
      <w:tr w14:paraId="68E5A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1BF7BA59">
            <w:pPr>
              <w:jc w:val="center"/>
              <w:rPr>
                <w:rFonts w:hint="eastAsia" w:ascii="宋体" w:hAnsi="宋体" w:eastAsia="宋体" w:cs="宋体"/>
                <w:i w:val="0"/>
                <w:iCs w:val="0"/>
                <w:color w:val="000000"/>
                <w:sz w:val="18"/>
                <w:szCs w:val="18"/>
                <w:u w:val="none"/>
              </w:rPr>
            </w:pPr>
          </w:p>
        </w:tc>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14:paraId="15B72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974" w:type="dxa"/>
            <w:tcBorders>
              <w:top w:val="single" w:color="000000" w:sz="4" w:space="0"/>
              <w:left w:val="single" w:color="000000" w:sz="4" w:space="0"/>
              <w:bottom w:val="nil"/>
              <w:right w:val="single" w:color="000000" w:sz="4" w:space="0"/>
            </w:tcBorders>
            <w:shd w:val="clear" w:color="auto" w:fill="auto"/>
            <w:vAlign w:val="center"/>
          </w:tcPr>
          <w:p w14:paraId="0A10F2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1FCBE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保证单位正常运行</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44FC1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0B034E53">
            <w:pPr>
              <w:jc w:val="center"/>
              <w:rPr>
                <w:rFonts w:hint="eastAsia" w:ascii="宋体" w:hAnsi="宋体" w:eastAsia="宋体" w:cs="宋体"/>
                <w:i w:val="0"/>
                <w:iCs w:val="0"/>
                <w:color w:val="000000"/>
                <w:sz w:val="18"/>
                <w:szCs w:val="18"/>
                <w:u w:val="none"/>
              </w:rPr>
            </w:pPr>
          </w:p>
        </w:tc>
        <w:tc>
          <w:tcPr>
            <w:tcW w:w="809" w:type="dxa"/>
            <w:tcBorders>
              <w:top w:val="single" w:color="000000" w:sz="4" w:space="0"/>
              <w:left w:val="single" w:color="000000" w:sz="4" w:space="0"/>
              <w:bottom w:val="nil"/>
              <w:right w:val="single" w:color="000000" w:sz="4" w:space="0"/>
            </w:tcBorders>
            <w:shd w:val="clear" w:color="auto" w:fill="auto"/>
            <w:vAlign w:val="center"/>
          </w:tcPr>
          <w:p w14:paraId="31DCB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正常</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71273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正常</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7BB3CC96">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vAlign w:val="center"/>
          </w:tcPr>
          <w:p w14:paraId="3486FA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1224D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3B4361C4">
            <w:pPr>
              <w:jc w:val="center"/>
              <w:rPr>
                <w:rFonts w:hint="eastAsia" w:ascii="宋体" w:hAnsi="宋体" w:eastAsia="宋体" w:cs="宋体"/>
                <w:i w:val="0"/>
                <w:iCs w:val="0"/>
                <w:color w:val="000000"/>
                <w:sz w:val="18"/>
                <w:szCs w:val="18"/>
                <w:u w:val="none"/>
              </w:rPr>
            </w:pPr>
          </w:p>
        </w:tc>
      </w:tr>
      <w:tr w14:paraId="176AB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731C81CB">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76183D92">
            <w:pPr>
              <w:jc w:val="center"/>
              <w:rPr>
                <w:rFonts w:hint="eastAsia" w:ascii="宋体" w:hAnsi="宋体" w:eastAsia="宋体" w:cs="宋体"/>
                <w:i w:val="0"/>
                <w:iCs w:val="0"/>
                <w:color w:val="000000"/>
                <w:sz w:val="18"/>
                <w:szCs w:val="18"/>
                <w:u w:val="none"/>
              </w:rPr>
            </w:pPr>
          </w:p>
        </w:tc>
        <w:tc>
          <w:tcPr>
            <w:tcW w:w="974" w:type="dxa"/>
            <w:tcBorders>
              <w:top w:val="single" w:color="000000" w:sz="4" w:space="0"/>
              <w:left w:val="single" w:color="000000" w:sz="4" w:space="0"/>
              <w:bottom w:val="nil"/>
              <w:right w:val="single" w:color="000000" w:sz="4" w:space="0"/>
            </w:tcBorders>
            <w:shd w:val="clear" w:color="auto" w:fill="auto"/>
            <w:vAlign w:val="center"/>
          </w:tcPr>
          <w:p w14:paraId="51D08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6FB71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保证单位的安全</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4D435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3AE0E9CA">
            <w:pPr>
              <w:jc w:val="center"/>
              <w:rPr>
                <w:rFonts w:hint="eastAsia" w:ascii="宋体" w:hAnsi="宋体" w:eastAsia="宋体" w:cs="宋体"/>
                <w:i w:val="0"/>
                <w:iCs w:val="0"/>
                <w:color w:val="000000"/>
                <w:sz w:val="18"/>
                <w:szCs w:val="18"/>
                <w:u w:val="none"/>
              </w:rPr>
            </w:pPr>
          </w:p>
        </w:tc>
        <w:tc>
          <w:tcPr>
            <w:tcW w:w="809" w:type="dxa"/>
            <w:tcBorders>
              <w:top w:val="single" w:color="000000" w:sz="4" w:space="0"/>
              <w:left w:val="single" w:color="000000" w:sz="4" w:space="0"/>
              <w:bottom w:val="nil"/>
              <w:right w:val="single" w:color="000000" w:sz="4" w:space="0"/>
            </w:tcBorders>
            <w:shd w:val="clear" w:color="auto" w:fill="auto"/>
            <w:vAlign w:val="center"/>
          </w:tcPr>
          <w:p w14:paraId="2C756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安全度</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3D01B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安全度</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1DFD2A65">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vAlign w:val="center"/>
          </w:tcPr>
          <w:p w14:paraId="65A18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0CC6E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239AA5EA">
            <w:pPr>
              <w:jc w:val="center"/>
              <w:rPr>
                <w:rFonts w:hint="eastAsia" w:ascii="宋体" w:hAnsi="宋体" w:eastAsia="宋体" w:cs="宋体"/>
                <w:i w:val="0"/>
                <w:iCs w:val="0"/>
                <w:color w:val="000000"/>
                <w:sz w:val="18"/>
                <w:szCs w:val="18"/>
                <w:u w:val="none"/>
              </w:rPr>
            </w:pPr>
          </w:p>
        </w:tc>
      </w:tr>
      <w:tr w14:paraId="1E40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5CD2D2D8">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14:paraId="08DF9A5C">
            <w:pPr>
              <w:jc w:val="center"/>
              <w:rPr>
                <w:rFonts w:hint="eastAsia" w:ascii="宋体" w:hAnsi="宋体" w:eastAsia="宋体" w:cs="宋体"/>
                <w:i w:val="0"/>
                <w:iCs w:val="0"/>
                <w:color w:val="000000"/>
                <w:sz w:val="18"/>
                <w:szCs w:val="18"/>
                <w:u w:val="none"/>
              </w:rPr>
            </w:pPr>
          </w:p>
        </w:tc>
        <w:tc>
          <w:tcPr>
            <w:tcW w:w="974" w:type="dxa"/>
            <w:tcBorders>
              <w:top w:val="single" w:color="000000" w:sz="4" w:space="0"/>
              <w:left w:val="single" w:color="000000" w:sz="4" w:space="0"/>
              <w:bottom w:val="nil"/>
              <w:right w:val="single" w:color="000000" w:sz="4" w:space="0"/>
            </w:tcBorders>
            <w:shd w:val="clear" w:color="auto" w:fill="auto"/>
            <w:vAlign w:val="center"/>
          </w:tcPr>
          <w:p w14:paraId="70D4B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7D908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持续保障按摩医院的消防设施质量</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54E4A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23DCB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809" w:type="dxa"/>
            <w:tcBorders>
              <w:top w:val="single" w:color="000000" w:sz="4" w:space="0"/>
              <w:left w:val="single" w:color="000000" w:sz="4" w:space="0"/>
              <w:bottom w:val="nil"/>
              <w:right w:val="single" w:color="000000" w:sz="4" w:space="0"/>
            </w:tcBorders>
            <w:shd w:val="clear" w:color="auto" w:fill="auto"/>
            <w:vAlign w:val="center"/>
          </w:tcPr>
          <w:p w14:paraId="7DCE8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78900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19E7E2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54" w:type="dxa"/>
            <w:tcBorders>
              <w:top w:val="single" w:color="000000" w:sz="4" w:space="0"/>
              <w:left w:val="single" w:color="000000" w:sz="4" w:space="0"/>
              <w:bottom w:val="nil"/>
              <w:right w:val="single" w:color="000000" w:sz="4" w:space="0"/>
            </w:tcBorders>
            <w:shd w:val="clear" w:color="auto" w:fill="auto"/>
            <w:vAlign w:val="center"/>
          </w:tcPr>
          <w:p w14:paraId="1D362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1CB5D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36FBB555">
            <w:pPr>
              <w:jc w:val="center"/>
              <w:rPr>
                <w:rFonts w:hint="eastAsia" w:ascii="宋体" w:hAnsi="宋体" w:eastAsia="宋体" w:cs="宋体"/>
                <w:i w:val="0"/>
                <w:iCs w:val="0"/>
                <w:color w:val="000000"/>
                <w:sz w:val="18"/>
                <w:szCs w:val="18"/>
                <w:u w:val="none"/>
              </w:rPr>
            </w:pPr>
          </w:p>
        </w:tc>
      </w:tr>
      <w:tr w14:paraId="56B7C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404" w:type="dxa"/>
            <w:vMerge w:val="continue"/>
            <w:tcBorders>
              <w:top w:val="single" w:color="000000" w:sz="4" w:space="0"/>
              <w:left w:val="single" w:color="000000" w:sz="4" w:space="0"/>
              <w:bottom w:val="nil"/>
              <w:right w:val="single" w:color="000000" w:sz="4" w:space="0"/>
            </w:tcBorders>
            <w:shd w:val="clear" w:color="auto" w:fill="auto"/>
            <w:vAlign w:val="center"/>
          </w:tcPr>
          <w:p w14:paraId="78F78FBA">
            <w:pPr>
              <w:jc w:val="center"/>
              <w:rPr>
                <w:rFonts w:hint="eastAsia" w:ascii="宋体" w:hAnsi="宋体" w:eastAsia="宋体" w:cs="宋体"/>
                <w:i w:val="0"/>
                <w:iCs w:val="0"/>
                <w:color w:val="000000"/>
                <w:sz w:val="18"/>
                <w:szCs w:val="18"/>
                <w:u w:val="none"/>
              </w:rPr>
            </w:pPr>
          </w:p>
        </w:tc>
        <w:tc>
          <w:tcPr>
            <w:tcW w:w="555" w:type="dxa"/>
            <w:tcBorders>
              <w:top w:val="single" w:color="000000" w:sz="4" w:space="0"/>
              <w:left w:val="single" w:color="000000" w:sz="4" w:space="0"/>
              <w:bottom w:val="nil"/>
              <w:right w:val="single" w:color="000000" w:sz="4" w:space="0"/>
            </w:tcBorders>
            <w:shd w:val="clear" w:color="auto" w:fill="auto"/>
            <w:vAlign w:val="center"/>
          </w:tcPr>
          <w:p w14:paraId="4C8ED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974" w:type="dxa"/>
            <w:tcBorders>
              <w:top w:val="single" w:color="000000" w:sz="4" w:space="0"/>
              <w:left w:val="single" w:color="000000" w:sz="4" w:space="0"/>
              <w:bottom w:val="nil"/>
              <w:right w:val="single" w:color="000000" w:sz="4" w:space="0"/>
            </w:tcBorders>
            <w:shd w:val="clear" w:color="auto" w:fill="auto"/>
            <w:vAlign w:val="center"/>
          </w:tcPr>
          <w:p w14:paraId="5EEAC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1721" w:type="dxa"/>
            <w:tcBorders>
              <w:top w:val="single" w:color="000000" w:sz="4" w:space="0"/>
              <w:left w:val="single" w:color="000000" w:sz="4" w:space="0"/>
              <w:bottom w:val="nil"/>
              <w:right w:val="single" w:color="000000" w:sz="4" w:space="0"/>
            </w:tcBorders>
            <w:shd w:val="clear" w:color="auto" w:fill="auto"/>
            <w:vAlign w:val="center"/>
          </w:tcPr>
          <w:p w14:paraId="79C0F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患者和职工安全满意度</w:t>
            </w:r>
          </w:p>
        </w:tc>
        <w:tc>
          <w:tcPr>
            <w:tcW w:w="674" w:type="dxa"/>
            <w:tcBorders>
              <w:top w:val="single" w:color="000000" w:sz="4" w:space="0"/>
              <w:left w:val="single" w:color="000000" w:sz="4" w:space="0"/>
              <w:bottom w:val="nil"/>
              <w:right w:val="single" w:color="000000" w:sz="4" w:space="0"/>
            </w:tcBorders>
            <w:shd w:val="clear" w:color="auto" w:fill="auto"/>
            <w:vAlign w:val="center"/>
          </w:tcPr>
          <w:p w14:paraId="58CD3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973" w:type="dxa"/>
            <w:tcBorders>
              <w:top w:val="single" w:color="000000" w:sz="4" w:space="0"/>
              <w:left w:val="single" w:color="000000" w:sz="4" w:space="0"/>
              <w:bottom w:val="nil"/>
              <w:right w:val="single" w:color="000000" w:sz="4" w:space="0"/>
            </w:tcBorders>
            <w:shd w:val="clear" w:color="auto" w:fill="auto"/>
            <w:vAlign w:val="center"/>
          </w:tcPr>
          <w:p w14:paraId="0D95F08D">
            <w:pPr>
              <w:jc w:val="center"/>
              <w:rPr>
                <w:rFonts w:hint="eastAsia" w:ascii="宋体" w:hAnsi="宋体" w:eastAsia="宋体" w:cs="宋体"/>
                <w:i w:val="0"/>
                <w:iCs w:val="0"/>
                <w:color w:val="000000"/>
                <w:sz w:val="18"/>
                <w:szCs w:val="18"/>
                <w:u w:val="none"/>
              </w:rPr>
            </w:pPr>
          </w:p>
        </w:tc>
        <w:tc>
          <w:tcPr>
            <w:tcW w:w="809" w:type="dxa"/>
            <w:tcBorders>
              <w:top w:val="single" w:color="000000" w:sz="4" w:space="0"/>
              <w:left w:val="single" w:color="000000" w:sz="4" w:space="0"/>
              <w:bottom w:val="nil"/>
              <w:right w:val="single" w:color="000000" w:sz="4" w:space="0"/>
            </w:tcBorders>
            <w:shd w:val="clear" w:color="auto" w:fill="auto"/>
            <w:vAlign w:val="center"/>
          </w:tcPr>
          <w:p w14:paraId="08EFB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884" w:type="dxa"/>
            <w:tcBorders>
              <w:top w:val="single" w:color="000000" w:sz="4" w:space="0"/>
              <w:left w:val="single" w:color="000000" w:sz="4" w:space="0"/>
              <w:bottom w:val="nil"/>
              <w:right w:val="single" w:color="000000" w:sz="4" w:space="0"/>
            </w:tcBorders>
            <w:shd w:val="clear" w:color="auto" w:fill="auto"/>
            <w:vAlign w:val="center"/>
          </w:tcPr>
          <w:p w14:paraId="3F412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765" w:type="dxa"/>
            <w:tcBorders>
              <w:top w:val="single" w:color="000000" w:sz="4" w:space="0"/>
              <w:left w:val="single" w:color="000000" w:sz="4" w:space="0"/>
              <w:bottom w:val="nil"/>
              <w:right w:val="single" w:color="000000" w:sz="4" w:space="0"/>
            </w:tcBorders>
            <w:shd w:val="clear" w:color="auto" w:fill="auto"/>
            <w:vAlign w:val="center"/>
          </w:tcPr>
          <w:p w14:paraId="1BD82074">
            <w:pPr>
              <w:jc w:val="center"/>
              <w:rPr>
                <w:rFonts w:hint="eastAsia" w:ascii="宋体" w:hAnsi="宋体" w:eastAsia="宋体" w:cs="宋体"/>
                <w:i w:val="0"/>
                <w:iCs w:val="0"/>
                <w:color w:val="000000"/>
                <w:sz w:val="18"/>
                <w:szCs w:val="18"/>
                <w:u w:val="none"/>
              </w:rPr>
            </w:pPr>
          </w:p>
        </w:tc>
        <w:tc>
          <w:tcPr>
            <w:tcW w:w="854" w:type="dxa"/>
            <w:tcBorders>
              <w:top w:val="single" w:color="000000" w:sz="4" w:space="0"/>
              <w:left w:val="single" w:color="000000" w:sz="4" w:space="0"/>
              <w:bottom w:val="nil"/>
              <w:right w:val="single" w:color="000000" w:sz="4" w:space="0"/>
            </w:tcBorders>
            <w:shd w:val="clear" w:color="auto" w:fill="auto"/>
            <w:vAlign w:val="center"/>
          </w:tcPr>
          <w:p w14:paraId="64780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959" w:type="dxa"/>
            <w:tcBorders>
              <w:top w:val="single" w:color="000000" w:sz="4" w:space="0"/>
              <w:left w:val="single" w:color="000000" w:sz="4" w:space="0"/>
              <w:bottom w:val="nil"/>
              <w:right w:val="single" w:color="000000" w:sz="4" w:space="0"/>
            </w:tcBorders>
            <w:shd w:val="clear" w:color="auto" w:fill="auto"/>
            <w:vAlign w:val="center"/>
          </w:tcPr>
          <w:p w14:paraId="4CD916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0" w:type="dxa"/>
            <w:tcBorders>
              <w:top w:val="single" w:color="000000" w:sz="4" w:space="0"/>
              <w:left w:val="single" w:color="000000" w:sz="4" w:space="0"/>
              <w:bottom w:val="nil"/>
              <w:right w:val="single" w:color="000000" w:sz="4" w:space="0"/>
            </w:tcBorders>
            <w:shd w:val="clear" w:color="auto" w:fill="auto"/>
            <w:vAlign w:val="center"/>
          </w:tcPr>
          <w:p w14:paraId="7E85E27E">
            <w:pPr>
              <w:jc w:val="center"/>
              <w:rPr>
                <w:rFonts w:hint="eastAsia" w:ascii="宋体" w:hAnsi="宋体" w:eastAsia="宋体" w:cs="宋体"/>
                <w:i w:val="0"/>
                <w:iCs w:val="0"/>
                <w:color w:val="000000"/>
                <w:sz w:val="18"/>
                <w:szCs w:val="18"/>
                <w:u w:val="none"/>
              </w:rPr>
            </w:pPr>
          </w:p>
        </w:tc>
      </w:tr>
      <w:tr w14:paraId="19329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775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7887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AD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1C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B285">
            <w:pPr>
              <w:jc w:val="center"/>
              <w:rPr>
                <w:rFonts w:hint="eastAsia" w:ascii="宋体" w:hAnsi="宋体" w:eastAsia="宋体" w:cs="宋体"/>
                <w:i w:val="0"/>
                <w:iCs w:val="0"/>
                <w:color w:val="000000"/>
                <w:sz w:val="18"/>
                <w:szCs w:val="18"/>
                <w:u w:val="none"/>
              </w:rPr>
            </w:pPr>
          </w:p>
        </w:tc>
      </w:tr>
    </w:tbl>
    <w:p w14:paraId="051ABD58">
      <w:pPr>
        <w:widowControl/>
        <w:numPr>
          <w:ilvl w:val="0"/>
          <w:numId w:val="0"/>
        </w:numPr>
        <w:spacing w:before="240" w:after="240"/>
        <w:jc w:val="both"/>
        <w:rPr>
          <w:rFonts w:hint="eastAsia" w:asciiTheme="minorEastAsia" w:hAnsiTheme="minorEastAsia" w:eastAsiaTheme="minorEastAsia" w:cstheme="minorEastAsia"/>
          <w:spacing w:val="14"/>
          <w:sz w:val="30"/>
          <w:szCs w:val="30"/>
          <w:lang w:eastAsia="zh-CN"/>
        </w:rPr>
      </w:pPr>
    </w:p>
    <w:p w14:paraId="5FC71B11">
      <w:pPr>
        <w:widowControl/>
        <w:numPr>
          <w:ilvl w:val="0"/>
          <w:numId w:val="0"/>
        </w:numPr>
        <w:spacing w:before="240" w:after="240"/>
        <w:jc w:val="both"/>
        <w:rPr>
          <w:rFonts w:hint="eastAsia" w:asciiTheme="minorEastAsia" w:hAnsiTheme="minorEastAsia" w:eastAsiaTheme="minorEastAsia" w:cstheme="minorEastAsia"/>
          <w:spacing w:val="14"/>
          <w:sz w:val="30"/>
          <w:szCs w:val="30"/>
          <w:lang w:eastAsia="zh-CN"/>
        </w:rPr>
      </w:pPr>
    </w:p>
    <w:p w14:paraId="5CDC4355">
      <w:pPr>
        <w:widowControl/>
        <w:spacing w:before="240" w:after="240"/>
        <w:jc w:val="left"/>
        <w:rPr>
          <w:rFonts w:ascii="Times New Roman" w:hAnsi="Times New Roman" w:eastAsia="Times New Roman" w:cs="Times New Roman"/>
          <w:kern w:val="0"/>
          <w:sz w:val="28"/>
          <w:szCs w:val="28"/>
        </w:rPr>
      </w:pPr>
      <w:r>
        <w:rPr>
          <w:rFonts w:ascii="kai_ti_gb2312" w:hAnsi="kai_ti_gb2312" w:eastAsia="kai_ti_gb2312" w:cs="kai_ti_gb2312"/>
          <w:b/>
          <w:bCs/>
          <w:kern w:val="0"/>
          <w:sz w:val="28"/>
          <w:szCs w:val="28"/>
        </w:rPr>
        <w:t>    （三）单位项目绩效评价结果。</w:t>
      </w:r>
    </w:p>
    <w:p w14:paraId="6AECC3F8">
      <w:pPr>
        <w:widowControl/>
        <w:spacing w:before="240" w:after="240"/>
        <w:jc w:val="left"/>
        <w:rPr>
          <w:rFonts w:ascii="Times New Roman" w:hAnsi="Times New Roman" w:eastAsia="Times New Roman" w:cs="Times New Roman"/>
          <w:kern w:val="0"/>
          <w:sz w:val="28"/>
          <w:szCs w:val="28"/>
        </w:rPr>
      </w:pPr>
      <w:r>
        <w:rPr>
          <w:rFonts w:ascii="fang_song_gb2312" w:hAnsi="fang_song_gb2312" w:eastAsia="fang_song_gb2312" w:cs="fang_song_gb2312"/>
          <w:kern w:val="0"/>
          <w:sz w:val="28"/>
          <w:szCs w:val="28"/>
        </w:rPr>
        <w:t>    以</w:t>
      </w:r>
      <w:r>
        <w:rPr>
          <w:rFonts w:hint="eastAsia" w:ascii="fang_song_gb2312" w:hAnsi="fang_song_gb2312" w:cs="fang_song_gb2312"/>
          <w:kern w:val="0"/>
          <w:sz w:val="28"/>
          <w:szCs w:val="28"/>
          <w:lang w:val="en-US" w:eastAsia="zh-CN"/>
        </w:rPr>
        <w:t>取暖费</w:t>
      </w:r>
      <w:r>
        <w:rPr>
          <w:rFonts w:ascii="fang_song_gb2312" w:hAnsi="fang_song_gb2312" w:eastAsia="fang_song_gb2312" w:cs="fang_song_gb2312"/>
          <w:kern w:val="0"/>
          <w:sz w:val="28"/>
          <w:szCs w:val="28"/>
        </w:rPr>
        <w:t>项目为例，该项目绩效评价综合得分为</w:t>
      </w:r>
      <w:r>
        <w:rPr>
          <w:rFonts w:hint="eastAsia" w:ascii="times_new_roman" w:hAnsi="times_new_roman" w:cs="times_new_roman"/>
          <w:kern w:val="0"/>
          <w:sz w:val="28"/>
          <w:szCs w:val="28"/>
          <w:u w:val="single"/>
          <w:lang w:val="en-US" w:eastAsia="zh-CN"/>
        </w:rPr>
        <w:t>100</w:t>
      </w:r>
      <w:r>
        <w:rPr>
          <w:rFonts w:ascii="fang_song_gb2312" w:hAnsi="fang_song_gb2312" w:eastAsia="fang_song_gb2312" w:cs="fang_song_gb2312"/>
          <w:kern w:val="0"/>
          <w:sz w:val="28"/>
          <w:szCs w:val="28"/>
        </w:rPr>
        <w:t>分，绩效评价结果为“优”。</w:t>
      </w:r>
      <w:r>
        <w:rPr>
          <w:rFonts w:hint="eastAsia" w:ascii="fang_song_gb2312" w:hAnsi="fang_song_gb2312" w:cs="fang_song_gb2312"/>
          <w:kern w:val="0"/>
          <w:sz w:val="28"/>
          <w:szCs w:val="28"/>
          <w:lang w:val="en-US" w:eastAsia="zh-CN"/>
        </w:rPr>
        <w:t>无</w:t>
      </w:r>
      <w:r>
        <w:rPr>
          <w:rFonts w:ascii="fang_song_gb2312" w:hAnsi="fang_song_gb2312" w:eastAsia="fang_song_gb2312" w:cs="fang_song_gb2312"/>
          <w:kern w:val="0"/>
          <w:sz w:val="28"/>
          <w:szCs w:val="28"/>
        </w:rPr>
        <w:t>重点项目绩效评价。</w:t>
      </w:r>
    </w:p>
    <w:p w14:paraId="16B7B53A">
      <w:pPr>
        <w:ind w:left="0" w:leftChars="0" w:firstLine="0" w:firstLineChars="0"/>
        <w:jc w:val="center"/>
        <w:rPr>
          <w:rFonts w:ascii="fang_song_gb2312" w:hAnsi="fang_song_gb2312" w:eastAsia="fang_song_gb2312" w:cs="fang_song_gb2312"/>
          <w:color w:val="0E00FE"/>
          <w:kern w:val="0"/>
          <w:sz w:val="28"/>
          <w:szCs w:val="28"/>
        </w:rPr>
      </w:pPr>
    </w:p>
    <w:p w14:paraId="3FE73951">
      <w:pPr>
        <w:ind w:left="0" w:leftChars="0" w:firstLine="0" w:firstLineChars="0"/>
        <w:jc w:val="center"/>
        <w:rPr>
          <w:rFonts w:ascii="fang_song_gb2312" w:hAnsi="fang_song_gb2312" w:eastAsia="fang_song_gb2312" w:cs="fang_song_gb2312"/>
          <w:color w:val="0E00FE"/>
          <w:kern w:val="0"/>
          <w:sz w:val="28"/>
          <w:szCs w:val="28"/>
        </w:rPr>
      </w:pPr>
    </w:p>
    <w:p w14:paraId="1D382CB4">
      <w:pPr>
        <w:ind w:left="0" w:leftChars="0" w:firstLine="0" w:firstLineChars="0"/>
        <w:jc w:val="center"/>
        <w:rPr>
          <w:rFonts w:ascii="fang_song_gb2312" w:hAnsi="fang_song_gb2312" w:eastAsia="fang_song_gb2312" w:cs="fang_song_gb2312"/>
          <w:color w:val="0E00FE"/>
          <w:kern w:val="0"/>
          <w:sz w:val="28"/>
          <w:szCs w:val="28"/>
        </w:rPr>
      </w:pPr>
    </w:p>
    <w:p w14:paraId="21CE61CC">
      <w:pPr>
        <w:ind w:left="0" w:leftChars="0" w:firstLine="0" w:firstLineChars="0"/>
        <w:jc w:val="center"/>
        <w:rPr>
          <w:rFonts w:hint="eastAsia" w:ascii="仿宋" w:hAnsi="仿宋" w:eastAsia="仿宋" w:cs="仿宋"/>
          <w:b/>
          <w:bCs/>
          <w:i w:val="0"/>
          <w:iCs w:val="0"/>
          <w:color w:val="000000"/>
          <w:kern w:val="0"/>
          <w:sz w:val="52"/>
          <w:szCs w:val="52"/>
          <w:u w:val="none"/>
          <w:lang w:val="en-US" w:eastAsia="zh-CN" w:bidi="ar"/>
        </w:rPr>
      </w:pPr>
      <w:r>
        <w:rPr>
          <w:rFonts w:ascii="fang_song_gb2312" w:hAnsi="fang_song_gb2312" w:eastAsia="fang_song_gb2312" w:cs="fang_song_gb2312"/>
          <w:color w:val="0E00FE"/>
          <w:kern w:val="0"/>
          <w:sz w:val="28"/>
          <w:szCs w:val="28"/>
        </w:rPr>
        <w:t xml:space="preserve">    </w:t>
      </w:r>
      <w:r>
        <w:rPr>
          <w:rFonts w:hint="eastAsia" w:ascii="仿宋" w:hAnsi="仿宋" w:eastAsia="仿宋" w:cs="仿宋"/>
          <w:b/>
          <w:bCs/>
          <w:i w:val="0"/>
          <w:iCs w:val="0"/>
          <w:color w:val="000000"/>
          <w:kern w:val="0"/>
          <w:sz w:val="52"/>
          <w:szCs w:val="52"/>
          <w:u w:val="none"/>
          <w:lang w:val="en-US" w:eastAsia="zh-Hans" w:bidi="ar"/>
        </w:rPr>
        <w:t>项目</w:t>
      </w:r>
      <w:r>
        <w:rPr>
          <w:rFonts w:hint="eastAsia" w:ascii="仿宋" w:hAnsi="仿宋" w:eastAsia="仿宋" w:cs="仿宋"/>
          <w:b/>
          <w:bCs/>
          <w:i w:val="0"/>
          <w:iCs w:val="0"/>
          <w:color w:val="000000"/>
          <w:kern w:val="0"/>
          <w:sz w:val="52"/>
          <w:szCs w:val="52"/>
          <w:u w:val="none"/>
          <w:lang w:val="en-US" w:eastAsia="zh-CN" w:bidi="ar"/>
        </w:rPr>
        <w:t>绩效自评报告</w:t>
      </w:r>
    </w:p>
    <w:p w14:paraId="0DB0B5EE">
      <w:pPr>
        <w:pStyle w:val="20"/>
        <w:keepNext w:val="0"/>
        <w:keepLines w:val="0"/>
        <w:widowControl/>
        <w:suppressLineNumbers w:val="0"/>
        <w:shd w:val="clear" w:fill="FFFFFF"/>
        <w:ind w:left="0" w:leftChars="0" w:firstLine="0" w:firstLineChars="0"/>
        <w:jc w:val="center"/>
        <w:rPr>
          <w:rFonts w:hint="eastAsia" w:ascii="仿宋" w:hAnsi="仿宋" w:eastAsia="仿宋" w:cs="仿宋"/>
          <w:b/>
          <w:bCs/>
          <w:i w:val="0"/>
          <w:iCs w:val="0"/>
          <w:color w:val="000000"/>
          <w:kern w:val="0"/>
          <w:sz w:val="36"/>
          <w:szCs w:val="36"/>
          <w:u w:val="none"/>
          <w:lang w:val="en-US" w:eastAsia="zh-CN" w:bidi="ar"/>
        </w:rPr>
      </w:pPr>
      <w:r>
        <w:rPr>
          <w:rFonts w:hint="eastAsia" w:ascii="仿宋" w:hAnsi="仿宋" w:eastAsia="仿宋" w:cs="仿宋"/>
          <w:b/>
          <w:bCs/>
          <w:i w:val="0"/>
          <w:iCs w:val="0"/>
          <w:color w:val="000000"/>
          <w:kern w:val="0"/>
          <w:sz w:val="36"/>
          <w:szCs w:val="36"/>
          <w:u w:val="none"/>
          <w:lang w:val="en-US" w:eastAsia="zh-CN" w:bidi="ar"/>
        </w:rPr>
        <w:t>（</w:t>
      </w:r>
      <w:r>
        <w:rPr>
          <w:rFonts w:hint="eastAsia" w:ascii="方正小标宋简体" w:eastAsia="方正小标宋简体"/>
          <w:sz w:val="44"/>
          <w:szCs w:val="44"/>
        </w:rPr>
        <w:t>2023</w:t>
      </w:r>
      <w:r>
        <w:rPr>
          <w:rFonts w:hint="eastAsia" w:ascii="仿宋" w:hAnsi="仿宋" w:eastAsia="仿宋" w:cs="仿宋"/>
          <w:b/>
          <w:bCs/>
          <w:i w:val="0"/>
          <w:iCs w:val="0"/>
          <w:color w:val="000000"/>
          <w:kern w:val="0"/>
          <w:sz w:val="36"/>
          <w:szCs w:val="36"/>
          <w:u w:val="none"/>
          <w:lang w:val="en-US" w:eastAsia="zh-CN" w:bidi="ar"/>
        </w:rPr>
        <w:t>年度）</w:t>
      </w:r>
    </w:p>
    <w:p w14:paraId="008D56E1">
      <w:pPr>
        <w:jc w:val="center"/>
        <w:rPr>
          <w:rFonts w:hint="eastAsia" w:ascii="宋体" w:hAnsi="宋体" w:eastAsia="宋体" w:cs="宋体"/>
          <w:b/>
          <w:bCs/>
          <w:i w:val="0"/>
          <w:iCs w:val="0"/>
          <w:color w:val="000000"/>
          <w:kern w:val="0"/>
          <w:sz w:val="24"/>
          <w:szCs w:val="24"/>
          <w:u w:val="none"/>
          <w:lang w:val="en-US" w:eastAsia="zh-CN" w:bidi="ar"/>
        </w:rPr>
      </w:pPr>
    </w:p>
    <w:p w14:paraId="0C1EA1ED">
      <w:pPr>
        <w:jc w:val="center"/>
        <w:rPr>
          <w:rFonts w:hint="eastAsia" w:ascii="宋体" w:hAnsi="宋体" w:eastAsia="宋体" w:cs="宋体"/>
          <w:b/>
          <w:bCs/>
          <w:i w:val="0"/>
          <w:iCs w:val="0"/>
          <w:color w:val="000000"/>
          <w:kern w:val="0"/>
          <w:sz w:val="24"/>
          <w:szCs w:val="24"/>
          <w:u w:val="none"/>
          <w:lang w:val="en-US" w:eastAsia="zh-CN" w:bidi="ar"/>
        </w:rPr>
      </w:pPr>
    </w:p>
    <w:p w14:paraId="74891B2D">
      <w:pPr>
        <w:jc w:val="center"/>
        <w:rPr>
          <w:rFonts w:hint="eastAsia" w:ascii="宋体" w:hAnsi="宋体" w:eastAsia="宋体" w:cs="宋体"/>
          <w:b/>
          <w:bCs/>
          <w:i w:val="0"/>
          <w:iCs w:val="0"/>
          <w:color w:val="000000"/>
          <w:kern w:val="0"/>
          <w:sz w:val="24"/>
          <w:szCs w:val="24"/>
          <w:u w:val="none"/>
          <w:lang w:val="en-US" w:eastAsia="zh-CN" w:bidi="ar"/>
        </w:rPr>
      </w:pPr>
    </w:p>
    <w:p w14:paraId="34E29069">
      <w:pPr>
        <w:jc w:val="center"/>
        <w:rPr>
          <w:rFonts w:hint="eastAsia" w:ascii="宋体" w:hAnsi="宋体" w:eastAsia="宋体" w:cs="宋体"/>
          <w:b/>
          <w:bCs/>
          <w:i w:val="0"/>
          <w:iCs w:val="0"/>
          <w:color w:val="000000"/>
          <w:kern w:val="0"/>
          <w:sz w:val="24"/>
          <w:szCs w:val="24"/>
          <w:u w:val="none"/>
          <w:lang w:val="en-US" w:eastAsia="zh-CN" w:bidi="ar"/>
        </w:rPr>
      </w:pPr>
    </w:p>
    <w:p w14:paraId="211A2A72">
      <w:pPr>
        <w:jc w:val="center"/>
        <w:rPr>
          <w:rFonts w:hint="eastAsia" w:ascii="宋体" w:hAnsi="宋体" w:eastAsia="宋体" w:cs="宋体"/>
          <w:b/>
          <w:bCs/>
          <w:i w:val="0"/>
          <w:iCs w:val="0"/>
          <w:color w:val="000000"/>
          <w:kern w:val="0"/>
          <w:sz w:val="24"/>
          <w:szCs w:val="24"/>
          <w:u w:val="none"/>
          <w:lang w:val="en-US" w:eastAsia="zh-CN" w:bidi="ar"/>
        </w:rPr>
      </w:pPr>
    </w:p>
    <w:p w14:paraId="3C793601">
      <w:pPr>
        <w:jc w:val="center"/>
        <w:rPr>
          <w:rFonts w:hint="eastAsia" w:ascii="宋体" w:hAnsi="宋体" w:eastAsia="宋体" w:cs="宋体"/>
          <w:b/>
          <w:bCs/>
          <w:i w:val="0"/>
          <w:iCs w:val="0"/>
          <w:color w:val="000000"/>
          <w:kern w:val="0"/>
          <w:sz w:val="24"/>
          <w:szCs w:val="24"/>
          <w:u w:val="none"/>
          <w:lang w:val="en-US" w:eastAsia="zh-CN" w:bidi="ar"/>
        </w:rPr>
      </w:pPr>
    </w:p>
    <w:p w14:paraId="4F5EC932">
      <w:pPr>
        <w:jc w:val="center"/>
        <w:rPr>
          <w:rFonts w:hint="eastAsia" w:ascii="宋体" w:hAnsi="宋体" w:eastAsia="宋体" w:cs="宋体"/>
          <w:b/>
          <w:bCs/>
          <w:i w:val="0"/>
          <w:iCs w:val="0"/>
          <w:color w:val="000000"/>
          <w:kern w:val="0"/>
          <w:sz w:val="24"/>
          <w:szCs w:val="24"/>
          <w:u w:val="none"/>
          <w:lang w:val="en-US" w:eastAsia="zh-CN" w:bidi="ar"/>
        </w:rPr>
      </w:pPr>
    </w:p>
    <w:p w14:paraId="00E5E5C5">
      <w:pPr>
        <w:jc w:val="center"/>
        <w:rPr>
          <w:rFonts w:hint="eastAsia" w:ascii="宋体" w:hAnsi="宋体" w:eastAsia="宋体" w:cs="宋体"/>
          <w:b/>
          <w:bCs/>
          <w:i w:val="0"/>
          <w:iCs w:val="0"/>
          <w:color w:val="000000"/>
          <w:kern w:val="0"/>
          <w:sz w:val="24"/>
          <w:szCs w:val="24"/>
          <w:u w:val="none"/>
          <w:lang w:val="en-US" w:eastAsia="zh-CN" w:bidi="ar"/>
        </w:rPr>
      </w:pPr>
    </w:p>
    <w:p w14:paraId="602611C9">
      <w:pPr>
        <w:jc w:val="both"/>
        <w:rPr>
          <w:rFonts w:hint="eastAsia" w:ascii="宋体" w:hAnsi="宋体" w:eastAsia="宋体" w:cs="宋体"/>
          <w:b/>
          <w:bCs/>
          <w:i w:val="0"/>
          <w:iCs w:val="0"/>
          <w:color w:val="000000"/>
          <w:kern w:val="0"/>
          <w:sz w:val="24"/>
          <w:szCs w:val="24"/>
          <w:u w:val="none"/>
          <w:lang w:val="en-US" w:eastAsia="zh-CN" w:bidi="ar"/>
        </w:rPr>
      </w:pPr>
    </w:p>
    <w:p w14:paraId="02BECAF4">
      <w:pPr>
        <w:jc w:val="both"/>
        <w:rPr>
          <w:rFonts w:hint="eastAsia" w:ascii="宋体" w:hAnsi="宋体" w:eastAsia="宋体" w:cs="宋体"/>
          <w:b/>
          <w:bCs/>
          <w:i w:val="0"/>
          <w:iCs w:val="0"/>
          <w:color w:val="000000"/>
          <w:kern w:val="0"/>
          <w:sz w:val="24"/>
          <w:szCs w:val="24"/>
          <w:u w:val="none"/>
          <w:lang w:val="en-US" w:eastAsia="zh-CN" w:bidi="ar"/>
        </w:rPr>
      </w:pPr>
    </w:p>
    <w:p w14:paraId="3525B569">
      <w:pPr>
        <w:jc w:val="center"/>
        <w:rPr>
          <w:rFonts w:hint="eastAsia" w:ascii="宋体" w:hAnsi="宋体" w:eastAsia="宋体" w:cs="宋体"/>
          <w:b/>
          <w:bCs/>
          <w:i w:val="0"/>
          <w:iCs w:val="0"/>
          <w:color w:val="000000"/>
          <w:kern w:val="0"/>
          <w:sz w:val="24"/>
          <w:szCs w:val="24"/>
          <w:u w:val="none"/>
          <w:lang w:val="en-US" w:eastAsia="zh-CN" w:bidi="ar"/>
        </w:rPr>
      </w:pPr>
    </w:p>
    <w:p w14:paraId="4B2A9253">
      <w:pPr>
        <w:jc w:val="center"/>
        <w:rPr>
          <w:rFonts w:hint="eastAsia" w:ascii="宋体" w:hAnsi="宋体" w:eastAsia="宋体" w:cs="宋体"/>
          <w:b/>
          <w:bCs/>
          <w:i w:val="0"/>
          <w:iCs w:val="0"/>
          <w:color w:val="000000"/>
          <w:kern w:val="0"/>
          <w:sz w:val="24"/>
          <w:szCs w:val="24"/>
          <w:u w:val="none"/>
          <w:lang w:val="en-US" w:eastAsia="zh-CN" w:bidi="ar"/>
        </w:rPr>
      </w:pPr>
    </w:p>
    <w:p w14:paraId="766A7199">
      <w:pPr>
        <w:jc w:val="both"/>
        <w:rPr>
          <w:rFonts w:hint="eastAsia" w:ascii="宋体" w:hAnsi="宋体" w:eastAsia="宋体" w:cs="宋体"/>
          <w:b/>
          <w:bCs/>
          <w:i w:val="0"/>
          <w:iCs w:val="0"/>
          <w:color w:val="000000"/>
          <w:kern w:val="0"/>
          <w:sz w:val="24"/>
          <w:szCs w:val="24"/>
          <w:u w:val="none"/>
          <w:lang w:val="en-US" w:eastAsia="zh-CN" w:bidi="ar"/>
        </w:rPr>
      </w:pPr>
    </w:p>
    <w:p w14:paraId="5E325D28">
      <w:pPr>
        <w:jc w:val="center"/>
        <w:rPr>
          <w:rFonts w:hint="eastAsia" w:ascii="宋体" w:hAnsi="宋体" w:eastAsia="宋体" w:cs="宋体"/>
          <w:b/>
          <w:bCs/>
          <w:i w:val="0"/>
          <w:iCs w:val="0"/>
          <w:color w:val="000000"/>
          <w:kern w:val="0"/>
          <w:sz w:val="24"/>
          <w:szCs w:val="24"/>
          <w:u w:val="none"/>
          <w:lang w:val="en-US" w:eastAsia="zh-CN" w:bidi="ar"/>
        </w:rPr>
      </w:pPr>
    </w:p>
    <w:p w14:paraId="03BB7CFE">
      <w:pPr>
        <w:ind w:firstLine="1606" w:firstLineChars="500"/>
        <w:rPr>
          <w:rFonts w:hint="eastAsia" w:ascii="仿宋" w:hAnsi="仿宋" w:eastAsia="仿宋" w:cs="仿宋"/>
          <w:b/>
          <w:bCs/>
          <w:kern w:val="2"/>
          <w:sz w:val="32"/>
          <w:szCs w:val="32"/>
          <w:vertAlign w:val="baseline"/>
          <w:lang w:val="en-US" w:eastAsia="zh-CN" w:bidi="ar-SA"/>
        </w:rPr>
      </w:pPr>
      <w:r>
        <w:rPr>
          <w:rFonts w:hint="eastAsia" w:ascii="仿宋" w:hAnsi="仿宋" w:eastAsia="仿宋" w:cs="仿宋"/>
          <w:b/>
          <w:bCs/>
          <w:kern w:val="2"/>
          <w:sz w:val="32"/>
          <w:szCs w:val="32"/>
          <w:vertAlign w:val="baseline"/>
          <w:lang w:val="en-US" w:eastAsia="zh-CN" w:bidi="ar-SA"/>
        </w:rPr>
        <w:t>项目名称：</w:t>
      </w:r>
      <w:r>
        <w:rPr>
          <w:rFonts w:ascii="仿宋" w:hAnsi="仿宋" w:eastAsia="仿宋" w:cs="仿宋"/>
          <w:b/>
          <w:sz w:val="32"/>
        </w:rPr>
        <w:t>取暖费</w:t>
      </w:r>
    </w:p>
    <w:p w14:paraId="2704EECC">
      <w:pPr>
        <w:ind w:firstLine="1606" w:firstLineChars="500"/>
        <w:rPr>
          <w:rFonts w:hint="eastAsia" w:ascii="仿宋" w:hAnsi="仿宋" w:eastAsia="仿宋" w:cs="仿宋"/>
          <w:b/>
          <w:bCs/>
          <w:kern w:val="2"/>
          <w:sz w:val="32"/>
          <w:szCs w:val="32"/>
          <w:vertAlign w:val="baseline"/>
          <w:lang w:val="en-US" w:eastAsia="zh-CN" w:bidi="ar-SA"/>
        </w:rPr>
      </w:pPr>
      <w:r>
        <w:rPr>
          <w:rFonts w:hint="eastAsia" w:ascii="仿宋" w:hAnsi="仿宋" w:eastAsia="仿宋" w:cs="仿宋"/>
          <w:b/>
          <w:bCs/>
          <w:kern w:val="2"/>
          <w:sz w:val="32"/>
          <w:szCs w:val="32"/>
          <w:vertAlign w:val="baseline"/>
          <w:lang w:val="en-US" w:eastAsia="zh-CN" w:bidi="ar-SA"/>
        </w:rPr>
        <w:t>主管部门：</w:t>
      </w:r>
      <w:r>
        <w:rPr>
          <w:rFonts w:ascii="仿宋" w:hAnsi="仿宋" w:eastAsia="仿宋" w:cs="仿宋"/>
          <w:b/>
          <w:sz w:val="32"/>
        </w:rPr>
        <w:t>呼和浩特市民政局（部门）</w:t>
      </w:r>
    </w:p>
    <w:p w14:paraId="3B29A1B8">
      <w:pPr>
        <w:jc w:val="center"/>
        <w:rPr>
          <w:rFonts w:hint="eastAsia" w:ascii="宋体" w:hAnsi="宋体" w:eastAsia="宋体" w:cs="宋体"/>
          <w:b/>
          <w:bCs/>
          <w:i w:val="0"/>
          <w:iCs w:val="0"/>
          <w:color w:val="000000"/>
          <w:kern w:val="0"/>
          <w:sz w:val="24"/>
          <w:szCs w:val="24"/>
          <w:u w:val="none"/>
          <w:lang w:val="en-US" w:eastAsia="zh-CN" w:bidi="ar"/>
        </w:rPr>
      </w:pPr>
    </w:p>
    <w:p w14:paraId="416FD853">
      <w:pPr>
        <w:jc w:val="center"/>
        <w:rPr>
          <w:rFonts w:hint="eastAsia" w:ascii="宋体" w:hAnsi="宋体" w:eastAsia="宋体" w:cs="宋体"/>
          <w:b/>
          <w:bCs/>
          <w:i w:val="0"/>
          <w:iCs w:val="0"/>
          <w:color w:val="000000"/>
          <w:kern w:val="0"/>
          <w:sz w:val="24"/>
          <w:szCs w:val="24"/>
          <w:u w:val="none"/>
          <w:lang w:val="en-US" w:eastAsia="zh-CN" w:bidi="ar"/>
        </w:rPr>
      </w:pPr>
    </w:p>
    <w:p w14:paraId="26968B93">
      <w:pPr>
        <w:jc w:val="center"/>
        <w:rPr>
          <w:rFonts w:hint="eastAsia" w:ascii="宋体" w:hAnsi="宋体" w:eastAsia="宋体" w:cs="宋体"/>
          <w:b/>
          <w:bCs/>
          <w:i w:val="0"/>
          <w:iCs w:val="0"/>
          <w:color w:val="000000"/>
          <w:kern w:val="0"/>
          <w:sz w:val="24"/>
          <w:szCs w:val="24"/>
          <w:u w:val="none"/>
          <w:lang w:val="en-US" w:eastAsia="zh-CN" w:bidi="ar"/>
        </w:rPr>
      </w:pPr>
    </w:p>
    <w:p w14:paraId="33642BFA">
      <w:pPr>
        <w:jc w:val="center"/>
        <w:rPr>
          <w:rFonts w:hint="eastAsia" w:ascii="宋体" w:hAnsi="宋体" w:eastAsia="宋体" w:cs="宋体"/>
          <w:b/>
          <w:bCs/>
          <w:i w:val="0"/>
          <w:iCs w:val="0"/>
          <w:color w:val="000000"/>
          <w:kern w:val="0"/>
          <w:sz w:val="24"/>
          <w:szCs w:val="24"/>
          <w:u w:val="none"/>
          <w:lang w:val="en-US" w:eastAsia="zh-CN" w:bidi="ar"/>
        </w:rPr>
      </w:pPr>
    </w:p>
    <w:p w14:paraId="52482DC6">
      <w:pPr>
        <w:jc w:val="center"/>
        <w:rPr>
          <w:rFonts w:hint="eastAsia" w:ascii="宋体" w:hAnsi="宋体" w:eastAsia="宋体" w:cs="宋体"/>
          <w:b/>
          <w:bCs/>
          <w:i w:val="0"/>
          <w:iCs w:val="0"/>
          <w:color w:val="000000"/>
          <w:kern w:val="0"/>
          <w:sz w:val="24"/>
          <w:szCs w:val="24"/>
          <w:u w:val="none"/>
          <w:lang w:val="en-US" w:eastAsia="zh-CN" w:bidi="ar"/>
        </w:rPr>
      </w:pPr>
    </w:p>
    <w:p w14:paraId="55DBEE33">
      <w:pPr>
        <w:jc w:val="center"/>
        <w:rPr>
          <w:rFonts w:hint="eastAsia" w:ascii="宋体" w:hAnsi="宋体" w:eastAsia="宋体" w:cs="宋体"/>
          <w:b/>
          <w:bCs/>
          <w:i w:val="0"/>
          <w:iCs w:val="0"/>
          <w:color w:val="000000"/>
          <w:kern w:val="0"/>
          <w:sz w:val="24"/>
          <w:szCs w:val="24"/>
          <w:u w:val="none"/>
          <w:lang w:val="en-US" w:eastAsia="zh-CN" w:bidi="ar"/>
        </w:rPr>
      </w:pPr>
    </w:p>
    <w:p w14:paraId="56836E4A">
      <w:pPr>
        <w:jc w:val="center"/>
        <w:rPr>
          <w:rFonts w:hint="eastAsia" w:ascii="宋体" w:hAnsi="宋体" w:eastAsia="宋体" w:cs="宋体"/>
          <w:b/>
          <w:bCs/>
          <w:i w:val="0"/>
          <w:iCs w:val="0"/>
          <w:color w:val="000000"/>
          <w:kern w:val="0"/>
          <w:sz w:val="24"/>
          <w:szCs w:val="24"/>
          <w:u w:val="none"/>
          <w:lang w:val="en-US" w:eastAsia="zh-CN" w:bidi="ar"/>
        </w:rPr>
      </w:pPr>
    </w:p>
    <w:p w14:paraId="027CEFBE">
      <w:pPr>
        <w:jc w:val="center"/>
        <w:rPr>
          <w:rFonts w:hint="eastAsia" w:ascii="宋体" w:hAnsi="宋体" w:eastAsia="宋体" w:cs="宋体"/>
          <w:b/>
          <w:bCs/>
          <w:i w:val="0"/>
          <w:iCs w:val="0"/>
          <w:color w:val="000000"/>
          <w:kern w:val="0"/>
          <w:sz w:val="24"/>
          <w:szCs w:val="24"/>
          <w:u w:val="none"/>
          <w:lang w:val="en-US" w:eastAsia="zh-CN" w:bidi="ar"/>
        </w:rPr>
      </w:pPr>
      <w:bookmarkStart w:id="1" w:name="_GoBack"/>
      <w:bookmarkEnd w:id="1"/>
    </w:p>
    <w:p w14:paraId="74E921AC">
      <w:pPr>
        <w:jc w:val="center"/>
        <w:rPr>
          <w:rFonts w:hint="eastAsia" w:ascii="宋体" w:hAnsi="宋体" w:eastAsia="宋体" w:cs="宋体"/>
          <w:b/>
          <w:bCs/>
          <w:i w:val="0"/>
          <w:iCs w:val="0"/>
          <w:color w:val="000000"/>
          <w:kern w:val="0"/>
          <w:sz w:val="24"/>
          <w:szCs w:val="24"/>
          <w:u w:val="none"/>
          <w:lang w:val="en-US" w:eastAsia="zh-CN" w:bidi="ar"/>
        </w:rPr>
      </w:pPr>
    </w:p>
    <w:p w14:paraId="22447054">
      <w:pPr>
        <w:jc w:val="center"/>
        <w:rPr>
          <w:rFonts w:hint="eastAsia" w:ascii="宋体" w:hAnsi="宋体" w:eastAsia="宋体" w:cs="宋体"/>
          <w:b/>
          <w:bCs/>
          <w:i w:val="0"/>
          <w:iCs w:val="0"/>
          <w:color w:val="000000"/>
          <w:kern w:val="0"/>
          <w:sz w:val="24"/>
          <w:szCs w:val="24"/>
          <w:u w:val="none"/>
          <w:lang w:val="en-US" w:eastAsia="zh-CN" w:bidi="ar"/>
        </w:rPr>
      </w:pPr>
    </w:p>
    <w:p w14:paraId="01E2B67E">
      <w:pPr>
        <w:jc w:val="center"/>
        <w:rPr>
          <w:rFonts w:hint="eastAsia" w:ascii="宋体" w:hAnsi="宋体" w:eastAsia="宋体" w:cs="宋体"/>
          <w:b/>
          <w:bCs/>
          <w:i w:val="0"/>
          <w:iCs w:val="0"/>
          <w:color w:val="000000"/>
          <w:kern w:val="0"/>
          <w:sz w:val="24"/>
          <w:szCs w:val="24"/>
          <w:u w:val="none"/>
          <w:lang w:val="en-US" w:eastAsia="zh-CN" w:bidi="ar"/>
        </w:rPr>
      </w:pPr>
    </w:p>
    <w:p w14:paraId="3D8EF913">
      <w:pPr>
        <w:jc w:val="center"/>
        <w:rPr>
          <w:rFonts w:hint="eastAsia" w:ascii="宋体" w:hAnsi="宋体" w:eastAsia="宋体" w:cs="宋体"/>
          <w:b/>
          <w:bCs/>
          <w:i w:val="0"/>
          <w:iCs w:val="0"/>
          <w:color w:val="000000"/>
          <w:kern w:val="0"/>
          <w:sz w:val="24"/>
          <w:szCs w:val="24"/>
          <w:u w:val="none"/>
          <w:lang w:val="en-US" w:eastAsia="zh-CN" w:bidi="ar"/>
        </w:rPr>
      </w:pPr>
    </w:p>
    <w:p w14:paraId="2FC25046">
      <w:pPr>
        <w:jc w:val="center"/>
        <w:rPr>
          <w:rFonts w:hint="eastAsia" w:ascii="宋体" w:hAnsi="宋体" w:eastAsia="宋体" w:cs="宋体"/>
          <w:b/>
          <w:bCs/>
          <w:i w:val="0"/>
          <w:iCs w:val="0"/>
          <w:color w:val="000000"/>
          <w:kern w:val="0"/>
          <w:sz w:val="24"/>
          <w:szCs w:val="24"/>
          <w:u w:val="none"/>
          <w:lang w:val="en-US" w:eastAsia="zh-CN" w:bidi="ar"/>
        </w:rPr>
      </w:pPr>
    </w:p>
    <w:p w14:paraId="2C9C76A8">
      <w:pPr>
        <w:jc w:val="center"/>
        <w:rPr>
          <w:rFonts w:hint="eastAsia" w:ascii="宋体" w:hAnsi="宋体" w:eastAsia="宋体" w:cs="宋体"/>
          <w:b/>
          <w:bCs/>
          <w:i w:val="0"/>
          <w:iCs w:val="0"/>
          <w:color w:val="000000"/>
          <w:kern w:val="0"/>
          <w:sz w:val="24"/>
          <w:szCs w:val="24"/>
          <w:u w:val="none"/>
          <w:lang w:val="en-US" w:eastAsia="zh-CN" w:bidi="ar"/>
        </w:rPr>
      </w:pPr>
    </w:p>
    <w:p w14:paraId="48FB68F4">
      <w:pPr>
        <w:jc w:val="center"/>
        <w:rPr>
          <w:rFonts w:hint="eastAsia" w:ascii="宋体" w:hAnsi="宋体" w:eastAsia="宋体" w:cs="宋体"/>
          <w:b/>
          <w:bCs/>
          <w:i w:val="0"/>
          <w:iCs w:val="0"/>
          <w:color w:val="000000"/>
          <w:kern w:val="0"/>
          <w:sz w:val="24"/>
          <w:szCs w:val="24"/>
          <w:u w:val="none"/>
          <w:lang w:val="en-US" w:eastAsia="zh-CN" w:bidi="ar"/>
        </w:rPr>
      </w:pPr>
    </w:p>
    <w:p w14:paraId="6D69EEDE">
      <w:pPr>
        <w:spacing w:line="620" w:lineRule="exact"/>
        <w:ind w:firstLine="880"/>
        <w:jc w:val="center"/>
        <w:rPr>
          <w:rFonts w:hint="eastAsia" w:ascii="方正小标宋简体" w:eastAsia="方正小标宋简体"/>
          <w:sz w:val="44"/>
          <w:szCs w:val="44"/>
        </w:rPr>
      </w:pPr>
    </w:p>
    <w:p w14:paraId="1CD3373F">
      <w:pPr>
        <w:spacing w:line="620" w:lineRule="exact"/>
        <w:ind w:firstLine="880"/>
        <w:jc w:val="center"/>
        <w:rPr>
          <w:rFonts w:hint="eastAsia" w:ascii="方正小标宋简体" w:eastAsia="方正小标宋简体"/>
          <w:sz w:val="44"/>
          <w:szCs w:val="44"/>
        </w:rPr>
      </w:pPr>
    </w:p>
    <w:p w14:paraId="118BB08A">
      <w:pPr>
        <w:spacing w:line="620" w:lineRule="exact"/>
        <w:ind w:firstLine="880"/>
        <w:jc w:val="center"/>
        <w:rPr>
          <w:rFonts w:ascii="方正小标宋简体" w:eastAsia="方正小标宋简体"/>
          <w:sz w:val="44"/>
          <w:szCs w:val="44"/>
        </w:rPr>
      </w:pPr>
      <w:r>
        <w:rPr>
          <w:rFonts w:hint="eastAsia" w:ascii="方正小标宋简体" w:eastAsia="方正小标宋简体"/>
          <w:sz w:val="44"/>
          <w:szCs w:val="44"/>
        </w:rPr>
        <w:t>2023年</w:t>
      </w:r>
      <w:r>
        <w:rPr>
          <w:rFonts w:ascii="方正小标宋简体" w:hAnsi="方正小标宋简体" w:eastAsia="方正小标宋简体" w:cs="方正小标宋简体"/>
          <w:sz w:val="44"/>
        </w:rPr>
        <w:t>取暖费项目绩效自评报告</w:t>
      </w:r>
    </w:p>
    <w:p w14:paraId="478372CA">
      <w:pPr>
        <w:numPr>
          <w:ilvl w:val="0"/>
          <w:numId w:val="3"/>
        </w:numPr>
        <w:spacing w:line="240" w:lineRule="auto"/>
        <w:ind w:left="0" w:firstLine="0" w:firstLineChars="0"/>
        <w:jc w:val="left"/>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项目</w:t>
      </w:r>
      <w:r>
        <w:rPr>
          <w:rFonts w:hint="eastAsia" w:asciiTheme="minorEastAsia" w:hAnsiTheme="minorEastAsia" w:eastAsiaTheme="minorEastAsia" w:cstheme="minorEastAsia"/>
          <w:b/>
          <w:sz w:val="30"/>
          <w:szCs w:val="30"/>
          <w:lang w:val="en-US" w:eastAsia="zh-CN"/>
        </w:rPr>
        <w:t>基本</w:t>
      </w:r>
      <w:r>
        <w:rPr>
          <w:rFonts w:hint="eastAsia" w:asciiTheme="minorEastAsia" w:hAnsiTheme="minorEastAsia" w:eastAsiaTheme="minorEastAsia" w:cstheme="minorEastAsia"/>
          <w:b/>
          <w:sz w:val="30"/>
          <w:szCs w:val="30"/>
        </w:rPr>
        <w:t>情况</w:t>
      </w:r>
    </w:p>
    <w:p w14:paraId="1673EE84">
      <w:pPr>
        <w:spacing w:before="188" w:line="204" w:lineRule="auto"/>
        <w:ind w:firstLine="577"/>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spacing w:val="3"/>
          <w:sz w:val="28"/>
          <w:szCs w:val="28"/>
        </w:rPr>
        <w:t>（一）</w:t>
      </w:r>
      <w:r>
        <w:rPr>
          <w:rFonts w:hint="eastAsia" w:asciiTheme="minorEastAsia" w:hAnsiTheme="minorEastAsia" w:eastAsiaTheme="minorEastAsia" w:cstheme="minorEastAsia"/>
          <w:spacing w:val="3"/>
          <w:sz w:val="30"/>
          <w:szCs w:val="30"/>
        </w:rPr>
        <w:t>项目基本情况简介</w:t>
      </w:r>
      <w:r>
        <w:rPr>
          <w:rFonts w:hint="eastAsia" w:asciiTheme="minorEastAsia" w:hAnsiTheme="minorEastAsia" w:eastAsiaTheme="minorEastAsia" w:cstheme="minorEastAsia"/>
          <w:spacing w:val="3"/>
          <w:sz w:val="28"/>
          <w:szCs w:val="28"/>
        </w:rPr>
        <w:t>。</w:t>
      </w:r>
    </w:p>
    <w:p w14:paraId="662B7527">
      <w:pPr>
        <w:spacing w:line="620" w:lineRule="exact"/>
        <w:ind w:firstLine="924" w:firstLineChars="33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保证按摩院场所供暖，满足院内人员供暖需求，盲人按摩医院供暖面积1700平方米，取暖费收取标准为5.03元/㎡/月。</w:t>
      </w:r>
    </w:p>
    <w:p w14:paraId="7A566F54">
      <w:pPr>
        <w:numPr>
          <w:ilvl w:val="0"/>
          <w:numId w:val="4"/>
        </w:numPr>
        <w:spacing w:before="188" w:line="204" w:lineRule="auto"/>
        <w:ind w:firstLine="577"/>
        <w:rPr>
          <w:rFonts w:hint="eastAsia" w:asciiTheme="minorEastAsia" w:hAnsiTheme="minorEastAsia" w:eastAsiaTheme="minorEastAsia" w:cstheme="minorEastAsia"/>
          <w:spacing w:val="8"/>
          <w:sz w:val="30"/>
          <w:szCs w:val="30"/>
        </w:rPr>
      </w:pPr>
      <w:r>
        <w:rPr>
          <w:rFonts w:hint="eastAsia" w:asciiTheme="minorEastAsia" w:hAnsiTheme="minorEastAsia" w:eastAsiaTheme="minorEastAsia" w:cstheme="minorEastAsia"/>
          <w:spacing w:val="8"/>
          <w:sz w:val="30"/>
          <w:szCs w:val="30"/>
        </w:rPr>
        <w:t>绩效目标设定及</w:t>
      </w:r>
      <w:r>
        <w:rPr>
          <w:rFonts w:hint="eastAsia" w:asciiTheme="minorEastAsia" w:hAnsiTheme="minorEastAsia" w:eastAsiaTheme="minorEastAsia" w:cstheme="minorEastAsia"/>
          <w:spacing w:val="8"/>
          <w:sz w:val="30"/>
          <w:szCs w:val="30"/>
          <w:lang w:val="en-US" w:eastAsia="zh-CN"/>
        </w:rPr>
        <w:t>指标</w:t>
      </w:r>
      <w:r>
        <w:rPr>
          <w:rFonts w:hint="eastAsia" w:asciiTheme="minorEastAsia" w:hAnsiTheme="minorEastAsia" w:eastAsiaTheme="minorEastAsia" w:cstheme="minorEastAsia"/>
          <w:spacing w:val="8"/>
          <w:sz w:val="30"/>
          <w:szCs w:val="30"/>
        </w:rPr>
        <w:t>完成情况。</w:t>
      </w:r>
    </w:p>
    <w:p w14:paraId="243EBBE7">
      <w:pPr>
        <w:numPr>
          <w:ilvl w:val="0"/>
          <w:numId w:val="0"/>
        </w:numPr>
        <w:spacing w:before="188" w:line="204" w:lineRule="auto"/>
        <w:ind w:left="420" w:leftChars="0" w:firstLine="420" w:firstLineChars="0"/>
        <w:rPr>
          <w:rFonts w:hint="eastAsia" w:asciiTheme="minorEastAsia" w:hAnsiTheme="minorEastAsia" w:eastAsiaTheme="minorEastAsia" w:cstheme="minorEastAsia"/>
          <w:color w:val="auto"/>
          <w:spacing w:val="8"/>
          <w:sz w:val="28"/>
          <w:szCs w:val="28"/>
          <w:lang w:val="en-US" w:eastAsia="zh-CN"/>
        </w:rPr>
      </w:pPr>
      <w:r>
        <w:rPr>
          <w:rFonts w:hint="eastAsia" w:asciiTheme="minorEastAsia" w:hAnsiTheme="minorEastAsia" w:eastAsiaTheme="minorEastAsia" w:cstheme="minorEastAsia"/>
          <w:color w:val="auto"/>
          <w:spacing w:val="8"/>
          <w:sz w:val="28"/>
          <w:szCs w:val="28"/>
          <w:lang w:val="en-US" w:eastAsia="zh-CN"/>
        </w:rPr>
        <w:t>预期目标：</w:t>
      </w:r>
      <w:r>
        <w:rPr>
          <w:rFonts w:hint="eastAsia" w:asciiTheme="minorEastAsia" w:hAnsiTheme="minorEastAsia" w:eastAsiaTheme="minorEastAsia" w:cstheme="minorEastAsia"/>
          <w:color w:val="auto"/>
          <w:spacing w:val="8"/>
          <w:sz w:val="28"/>
          <w:szCs w:val="28"/>
        </w:rPr>
        <w:t>保证按摩医院场所供暖，满足院内人员供暖需求.</w:t>
      </w:r>
    </w:p>
    <w:p w14:paraId="0C2DEC4D">
      <w:pPr>
        <w:numPr>
          <w:ilvl w:val="0"/>
          <w:numId w:val="0"/>
        </w:numPr>
        <w:spacing w:before="188" w:line="204" w:lineRule="auto"/>
        <w:ind w:left="420" w:leftChars="0" w:firstLine="420" w:firstLineChars="0"/>
        <w:rPr>
          <w:rFonts w:hint="eastAsia" w:asciiTheme="minorEastAsia" w:hAnsiTheme="minorEastAsia" w:eastAsiaTheme="minorEastAsia" w:cstheme="minorEastAsia"/>
          <w:color w:val="auto"/>
          <w:spacing w:val="8"/>
          <w:sz w:val="28"/>
          <w:szCs w:val="28"/>
          <w:lang w:val="en-US" w:eastAsia="zh-CN"/>
        </w:rPr>
      </w:pPr>
      <w:r>
        <w:rPr>
          <w:rFonts w:hint="eastAsia" w:asciiTheme="minorEastAsia" w:hAnsiTheme="minorEastAsia" w:eastAsiaTheme="minorEastAsia" w:cstheme="minorEastAsia"/>
          <w:color w:val="auto"/>
          <w:spacing w:val="8"/>
          <w:sz w:val="28"/>
          <w:szCs w:val="28"/>
          <w:lang w:val="en-US" w:eastAsia="zh-CN"/>
        </w:rPr>
        <w:t>绩效目标实际完成情况：</w:t>
      </w:r>
      <w:r>
        <w:rPr>
          <w:rFonts w:hint="eastAsia" w:asciiTheme="minorEastAsia" w:hAnsiTheme="minorEastAsia" w:eastAsiaTheme="minorEastAsia" w:cstheme="minorEastAsia"/>
          <w:color w:val="auto"/>
          <w:spacing w:val="8"/>
          <w:sz w:val="28"/>
          <w:szCs w:val="28"/>
        </w:rPr>
        <w:t>绩效目标全部完成，保障办公场所供暖，满足院内人员供暖需求和提高人民满意度，取得了良好社会效益，圆满完成了各项指标任务，得到了全院职工患者的一致好评。</w:t>
      </w:r>
    </w:p>
    <w:p w14:paraId="0F427F48">
      <w:pPr>
        <w:spacing w:line="620" w:lineRule="exact"/>
        <w:ind w:firstLine="640"/>
        <w:rPr>
          <w:rFonts w:hint="eastAsia" w:asciiTheme="minorEastAsia" w:hAnsiTheme="minorEastAsia" w:eastAsiaTheme="minorEastAsia" w:cstheme="minorEastAsia"/>
          <w:sz w:val="28"/>
          <w:szCs w:val="28"/>
        </w:rPr>
      </w:pPr>
    </w:p>
    <w:p w14:paraId="2FA1F37B">
      <w:pPr>
        <w:numPr>
          <w:ilvl w:val="0"/>
          <w:numId w:val="3"/>
        </w:numPr>
        <w:spacing w:line="240" w:lineRule="auto"/>
        <w:ind w:left="0" w:firstLine="0" w:firstLineChars="0"/>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lang w:val="en-US" w:eastAsia="zh-CN"/>
        </w:rPr>
        <w:t>绩效自评工作</w:t>
      </w:r>
      <w:r>
        <w:rPr>
          <w:rFonts w:hint="eastAsia" w:asciiTheme="minorEastAsia" w:hAnsiTheme="minorEastAsia" w:eastAsiaTheme="minorEastAsia" w:cstheme="minorEastAsia"/>
          <w:b/>
          <w:sz w:val="30"/>
          <w:szCs w:val="30"/>
        </w:rPr>
        <w:t>情况</w:t>
      </w:r>
    </w:p>
    <w:p w14:paraId="5F1AFEF7">
      <w:pPr>
        <w:numPr>
          <w:ilvl w:val="0"/>
          <w:numId w:val="5"/>
        </w:numPr>
        <w:spacing w:before="188" w:line="204" w:lineRule="auto"/>
        <w:ind w:left="53" w:leftChars="0" w:firstLine="577" w:firstLineChars="0"/>
        <w:rPr>
          <w:rFonts w:hint="eastAsia" w:asciiTheme="minorEastAsia" w:hAnsiTheme="minorEastAsia" w:eastAsiaTheme="minorEastAsia" w:cstheme="minorEastAsia"/>
          <w:spacing w:val="1"/>
          <w:sz w:val="30"/>
          <w:szCs w:val="30"/>
        </w:rPr>
      </w:pPr>
      <w:r>
        <w:rPr>
          <w:rFonts w:hint="eastAsia" w:asciiTheme="minorEastAsia" w:hAnsiTheme="minorEastAsia" w:eastAsiaTheme="minorEastAsia" w:cstheme="minorEastAsia"/>
          <w:spacing w:val="1"/>
          <w:sz w:val="30"/>
          <w:szCs w:val="30"/>
        </w:rPr>
        <w:t>绩效自评目的。</w:t>
      </w:r>
    </w:p>
    <w:p w14:paraId="7A50AAB0">
      <w:pPr>
        <w:keepNext w:val="0"/>
        <w:keepLines w:val="0"/>
        <w:widowControl/>
        <w:suppressLineNumbers w:val="0"/>
        <w:jc w:val="left"/>
        <w:rPr>
          <w:rFonts w:hint="eastAsia" w:asciiTheme="minorEastAsia" w:hAnsiTheme="minorEastAsia" w:eastAsiaTheme="minorEastAsia" w:cstheme="minorEastAsia"/>
          <w:spacing w:val="1"/>
          <w:sz w:val="28"/>
          <w:szCs w:val="28"/>
        </w:rPr>
      </w:pPr>
      <w:r>
        <w:rPr>
          <w:rFonts w:hint="eastAsia" w:asciiTheme="minorEastAsia" w:hAnsiTheme="minorEastAsia" w:eastAsiaTheme="minorEastAsia" w:cstheme="minorEastAsia"/>
          <w:spacing w:val="1"/>
          <w:sz w:val="28"/>
          <w:szCs w:val="28"/>
        </w:rPr>
        <w:t xml:space="preserve">  绩效自评的目的是为了提高财政资金支出效率，了解资金使用是否达到预期目标、资金使用是否有效，检验资金指出率和效果，分析存在问题及原因、及时总结经验改进管理措施。通过绩效自评，全面掌握项目资金的使用情况、项目进度以及实施效率，并及时发现项目执行过程中的困难和问题，减少不合理支出、加强项目管理，提高财政资金的使用效率。</w:t>
      </w:r>
    </w:p>
    <w:p w14:paraId="0CF6133E">
      <w:pPr>
        <w:spacing w:before="189" w:line="204" w:lineRule="auto"/>
        <w:ind w:firstLine="577"/>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rPr>
        <w:t>（二）</w:t>
      </w:r>
      <w:r>
        <w:rPr>
          <w:rFonts w:hint="eastAsia" w:asciiTheme="minorEastAsia" w:hAnsiTheme="minorEastAsia" w:eastAsiaTheme="minorEastAsia" w:cstheme="minorEastAsia"/>
          <w:spacing w:val="4"/>
          <w:sz w:val="30"/>
          <w:szCs w:val="30"/>
        </w:rPr>
        <w:t>项目资金投入情况。</w:t>
      </w:r>
    </w:p>
    <w:p w14:paraId="59183F7E">
      <w:pPr>
        <w:keepNext w:val="0"/>
        <w:keepLines w:val="0"/>
        <w:pageBreakBefore w:val="0"/>
        <w:widowControl/>
        <w:kinsoku w:val="0"/>
        <w:wordWrap/>
        <w:overflowPunct/>
        <w:topLinePunct w:val="0"/>
        <w:autoSpaceDE w:val="0"/>
        <w:autoSpaceDN w:val="0"/>
        <w:bidi w:val="0"/>
        <w:adjustRightInd w:val="0"/>
        <w:snapToGrid w:val="0"/>
        <w:spacing w:before="189" w:line="312" w:lineRule="auto"/>
        <w:ind w:left="420" w:leftChars="0" w:firstLine="420" w:firstLineChars="0"/>
        <w:textAlignment w:val="baseline"/>
        <w:rPr>
          <w:rFonts w:hint="eastAsia" w:asciiTheme="minorEastAsia" w:hAnsiTheme="minorEastAsia" w:eastAsiaTheme="minorEastAsia" w:cstheme="minorEastAsia"/>
          <w:color w:val="auto"/>
          <w:spacing w:val="4"/>
          <w:sz w:val="28"/>
          <w:szCs w:val="28"/>
          <w:lang w:val="en-US" w:eastAsia="zh-CN"/>
        </w:rPr>
      </w:pPr>
      <w:r>
        <w:rPr>
          <w:rFonts w:hint="eastAsia" w:asciiTheme="minorEastAsia" w:hAnsiTheme="minorEastAsia" w:eastAsiaTheme="minorEastAsia" w:cstheme="minorEastAsia"/>
          <w:color w:val="auto"/>
          <w:spacing w:val="4"/>
          <w:sz w:val="28"/>
          <w:szCs w:val="28"/>
          <w:lang w:val="en-US" w:eastAsia="zh-CN"/>
        </w:rPr>
        <w:t>本年度资金年初预算数</w:t>
      </w:r>
      <w:r>
        <w:rPr>
          <w:rFonts w:hint="eastAsia" w:asciiTheme="minorEastAsia" w:hAnsiTheme="minorEastAsia" w:eastAsiaTheme="minorEastAsia" w:cstheme="minorEastAsia"/>
          <w:color w:val="auto"/>
          <w:spacing w:val="4"/>
          <w:sz w:val="28"/>
          <w:szCs w:val="28"/>
        </w:rPr>
        <w:t>5.13万元，其中：财政拨款5.13万元，其他资金0.00万元。</w:t>
      </w:r>
    </w:p>
    <w:p w14:paraId="0E9B8850">
      <w:pPr>
        <w:keepNext w:val="0"/>
        <w:keepLines w:val="0"/>
        <w:pageBreakBefore w:val="0"/>
        <w:widowControl/>
        <w:kinsoku w:val="0"/>
        <w:wordWrap/>
        <w:overflowPunct/>
        <w:topLinePunct w:val="0"/>
        <w:autoSpaceDE w:val="0"/>
        <w:autoSpaceDN w:val="0"/>
        <w:bidi w:val="0"/>
        <w:adjustRightInd w:val="0"/>
        <w:snapToGrid w:val="0"/>
        <w:spacing w:before="189" w:line="312" w:lineRule="auto"/>
        <w:ind w:left="420" w:leftChars="0" w:firstLine="420" w:firstLineChars="0"/>
        <w:textAlignment w:val="baseline"/>
        <w:rPr>
          <w:rFonts w:hint="eastAsia" w:asciiTheme="minorEastAsia" w:hAnsiTheme="minorEastAsia" w:eastAsiaTheme="minorEastAsia" w:cstheme="minorEastAsia"/>
          <w:color w:val="auto"/>
          <w:spacing w:val="4"/>
          <w:sz w:val="28"/>
          <w:szCs w:val="28"/>
          <w:lang w:val="en-US" w:eastAsia="zh-CN"/>
        </w:rPr>
      </w:pPr>
      <w:r>
        <w:rPr>
          <w:rFonts w:hint="eastAsia" w:asciiTheme="minorEastAsia" w:hAnsiTheme="minorEastAsia" w:eastAsiaTheme="minorEastAsia" w:cstheme="minorEastAsia"/>
          <w:color w:val="auto"/>
          <w:spacing w:val="4"/>
          <w:sz w:val="28"/>
          <w:szCs w:val="28"/>
          <w:lang w:val="en-US" w:eastAsia="zh-CN"/>
        </w:rPr>
        <w:t>本年度资金全年预算数</w:t>
      </w:r>
      <w:r>
        <w:rPr>
          <w:rFonts w:hint="eastAsia" w:asciiTheme="minorEastAsia" w:hAnsiTheme="minorEastAsia" w:eastAsiaTheme="minorEastAsia" w:cstheme="minorEastAsia"/>
          <w:color w:val="auto"/>
          <w:spacing w:val="4"/>
          <w:sz w:val="28"/>
          <w:szCs w:val="28"/>
        </w:rPr>
        <w:t>5.13万元，其中：财政拨款5.13万元，其他资金0万元。</w:t>
      </w:r>
    </w:p>
    <w:p w14:paraId="6A119196">
      <w:pPr>
        <w:keepNext w:val="0"/>
        <w:keepLines w:val="0"/>
        <w:pageBreakBefore w:val="0"/>
        <w:widowControl/>
        <w:kinsoku w:val="0"/>
        <w:wordWrap/>
        <w:overflowPunct/>
        <w:topLinePunct w:val="0"/>
        <w:autoSpaceDE w:val="0"/>
        <w:autoSpaceDN w:val="0"/>
        <w:bidi w:val="0"/>
        <w:adjustRightInd w:val="0"/>
        <w:snapToGrid w:val="0"/>
        <w:spacing w:before="189" w:line="312" w:lineRule="auto"/>
        <w:ind w:left="420" w:leftChars="0" w:firstLine="420" w:firstLineChars="0"/>
        <w:textAlignment w:val="baseline"/>
        <w:rPr>
          <w:rFonts w:hint="eastAsia" w:asciiTheme="minorEastAsia" w:hAnsiTheme="minorEastAsia" w:eastAsiaTheme="minorEastAsia" w:cstheme="minorEastAsia"/>
          <w:color w:val="auto"/>
          <w:spacing w:val="4"/>
          <w:sz w:val="28"/>
          <w:szCs w:val="28"/>
          <w:lang w:val="en-US" w:eastAsia="zh-CN"/>
        </w:rPr>
      </w:pPr>
      <w:r>
        <w:rPr>
          <w:rFonts w:hint="eastAsia" w:asciiTheme="minorEastAsia" w:hAnsiTheme="minorEastAsia" w:eastAsiaTheme="minorEastAsia" w:cstheme="minorEastAsia"/>
          <w:color w:val="auto"/>
          <w:spacing w:val="4"/>
          <w:sz w:val="28"/>
          <w:szCs w:val="28"/>
          <w:lang w:val="en-US" w:eastAsia="zh-CN"/>
        </w:rPr>
        <w:t>本年度资金全年执行数</w:t>
      </w:r>
      <w:r>
        <w:rPr>
          <w:rFonts w:hint="eastAsia" w:asciiTheme="minorEastAsia" w:hAnsiTheme="minorEastAsia" w:eastAsiaTheme="minorEastAsia" w:cstheme="minorEastAsia"/>
          <w:color w:val="auto"/>
          <w:spacing w:val="4"/>
          <w:sz w:val="28"/>
          <w:szCs w:val="28"/>
        </w:rPr>
        <w:t>5.13万元，其中：财政拨款5.13万元，其他资金0.00万元。</w:t>
      </w:r>
    </w:p>
    <w:p w14:paraId="438C9E18">
      <w:pPr>
        <w:numPr>
          <w:ilvl w:val="0"/>
          <w:numId w:val="0"/>
        </w:numPr>
        <w:spacing w:before="188" w:line="204" w:lineRule="auto"/>
        <w:ind w:left="669" w:leftChars="0"/>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4"/>
          <w:sz w:val="28"/>
          <w:szCs w:val="28"/>
          <w:lang w:val="en-US" w:eastAsia="zh-CN"/>
        </w:rPr>
        <w:t>（三）</w:t>
      </w:r>
      <w:r>
        <w:rPr>
          <w:rFonts w:hint="eastAsia" w:asciiTheme="minorEastAsia" w:hAnsiTheme="minorEastAsia" w:eastAsiaTheme="minorEastAsia" w:cstheme="minorEastAsia"/>
          <w:spacing w:val="4"/>
          <w:sz w:val="28"/>
          <w:szCs w:val="28"/>
        </w:rPr>
        <w:t>项目资金产出情况。</w:t>
      </w:r>
    </w:p>
    <w:p w14:paraId="0B899C0B">
      <w:pPr>
        <w:keepNext w:val="0"/>
        <w:keepLines w:val="0"/>
        <w:widowControl/>
        <w:suppressLineNumbers w:val="0"/>
        <w:jc w:val="left"/>
        <w:rPr>
          <w:rFonts w:hint="eastAsia" w:asciiTheme="minorEastAsia" w:hAnsiTheme="minorEastAsia" w:eastAsiaTheme="minorEastAsia" w:cstheme="minorEastAsia"/>
          <w:spacing w:val="4"/>
          <w:sz w:val="28"/>
          <w:szCs w:val="28"/>
        </w:rPr>
      </w:pPr>
      <w:r>
        <w:rPr>
          <w:rFonts w:hint="eastAsia" w:asciiTheme="minorEastAsia" w:hAnsiTheme="minorEastAsia" w:eastAsiaTheme="minorEastAsia" w:cstheme="minorEastAsia"/>
          <w:spacing w:val="1"/>
          <w:sz w:val="28"/>
          <w:szCs w:val="28"/>
        </w:rPr>
        <w:t>呼和浩特市盲人按摩医院供热面积1700平方米，供暖季，室内温度房达标率大于90%，供暖服务时间为供暖期6个月，供暖费总成本5.03元每平方米每月，2023年度取暖费项目预算5.13万元，2023年供暖期使用金额5.13元。取暖费项目控制在预算范围内，并与预算保持一致，，完成和及时率达均达到了绩效目标，总体完成情况良好。</w:t>
      </w:r>
    </w:p>
    <w:p w14:paraId="55B884F0">
      <w:pPr>
        <w:numPr>
          <w:ilvl w:val="0"/>
          <w:numId w:val="0"/>
        </w:numPr>
        <w:spacing w:before="189" w:line="204" w:lineRule="auto"/>
        <w:ind w:left="661" w:leftChars="0"/>
        <w:rPr>
          <w:rFonts w:hint="eastAsia" w:asciiTheme="minorEastAsia" w:hAnsiTheme="minorEastAsia" w:eastAsiaTheme="minorEastAsia" w:cstheme="minorEastAsia"/>
          <w:spacing w:val="2"/>
          <w:sz w:val="28"/>
          <w:szCs w:val="28"/>
        </w:rPr>
      </w:pPr>
      <w:r>
        <w:rPr>
          <w:rFonts w:hint="eastAsia" w:asciiTheme="minorEastAsia" w:hAnsiTheme="minorEastAsia" w:eastAsiaTheme="minorEastAsia" w:cstheme="minorEastAsia"/>
          <w:spacing w:val="2"/>
          <w:sz w:val="28"/>
          <w:szCs w:val="28"/>
          <w:lang w:val="en-US" w:eastAsia="zh-CN"/>
        </w:rPr>
        <w:t>（四）</w:t>
      </w:r>
      <w:r>
        <w:rPr>
          <w:rFonts w:hint="eastAsia" w:asciiTheme="minorEastAsia" w:hAnsiTheme="minorEastAsia" w:eastAsiaTheme="minorEastAsia" w:cstheme="minorEastAsia"/>
          <w:spacing w:val="2"/>
          <w:sz w:val="28"/>
          <w:szCs w:val="28"/>
        </w:rPr>
        <w:t>项目资金管理情况。</w:t>
      </w:r>
    </w:p>
    <w:p w14:paraId="1C665A0D">
      <w:pPr>
        <w:keepNext w:val="0"/>
        <w:keepLines w:val="0"/>
        <w:widowControl/>
        <w:suppressLineNumbers w:val="0"/>
        <w:jc w:val="left"/>
        <w:rPr>
          <w:rFonts w:hint="eastAsia" w:asciiTheme="minorEastAsia" w:hAnsiTheme="minorEastAsia" w:eastAsiaTheme="minorEastAsia" w:cstheme="minorEastAsia"/>
          <w:spacing w:val="1"/>
          <w:sz w:val="28"/>
          <w:szCs w:val="28"/>
        </w:rPr>
      </w:pPr>
      <w:r>
        <w:rPr>
          <w:rFonts w:hint="eastAsia" w:asciiTheme="minorEastAsia" w:hAnsiTheme="minorEastAsia" w:eastAsiaTheme="minorEastAsia" w:cstheme="minorEastAsia"/>
          <w:spacing w:val="1"/>
          <w:sz w:val="28"/>
          <w:szCs w:val="28"/>
        </w:rPr>
        <w:t>2023呼和浩特市盲人按摩医院取暖费预算5.13万元，2023年取暖费项目资金全部到位，到位及时率达到100%。体检费项目资金由市财政预算足额拨付，本单位组织实施，对取暖费项目及时足额支付。取暖费项目经费采取授权支付形式，单位向财政提交计划申请、拨款然后根据单位召开的会议纪要内容进行使用、并及时、规范对收支进行账务处理和会计核算。</w:t>
      </w:r>
      <w:r>
        <w:rPr>
          <w:rFonts w:hint="eastAsia" w:asciiTheme="minorEastAsia" w:hAnsiTheme="minorEastAsia" w:eastAsiaTheme="minorEastAsia" w:cstheme="minorEastAsia"/>
          <w:spacing w:val="1"/>
          <w:sz w:val="28"/>
          <w:szCs w:val="28"/>
        </w:rPr>
        <w:cr/>
      </w:r>
    </w:p>
    <w:p w14:paraId="2F8C27BC">
      <w:pPr>
        <w:numPr>
          <w:ilvl w:val="0"/>
          <w:numId w:val="0"/>
        </w:numPr>
        <w:spacing w:before="189" w:line="204" w:lineRule="auto"/>
        <w:ind w:leftChars="200"/>
        <w:rPr>
          <w:rFonts w:hint="eastAsia" w:asciiTheme="minorEastAsia" w:hAnsiTheme="minorEastAsia" w:eastAsiaTheme="minorEastAsia" w:cstheme="minorEastAsia"/>
          <w:spacing w:val="2"/>
          <w:sz w:val="28"/>
          <w:szCs w:val="28"/>
        </w:rPr>
      </w:pPr>
    </w:p>
    <w:p w14:paraId="3FFF5880">
      <w:pPr>
        <w:numPr>
          <w:ilvl w:val="0"/>
          <w:numId w:val="3"/>
        </w:numPr>
        <w:spacing w:line="240" w:lineRule="auto"/>
        <w:ind w:left="0" w:firstLine="0" w:firstLineChars="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lang w:val="en-US" w:eastAsia="zh-CN"/>
        </w:rPr>
        <w:t>项目绩效情况</w:t>
      </w:r>
    </w:p>
    <w:p w14:paraId="5B87B1D8">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 产出指标完成情况</w:t>
      </w:r>
    </w:p>
    <w:p w14:paraId="22D5196D">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1、数量指标</w:t>
      </w:r>
    </w:p>
    <w:p w14:paraId="188C9987">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1)供暖面积，目标值</w:t>
      </w:r>
      <w:r>
        <w:rPr>
          <w:rFonts w:hint="eastAsia" w:asciiTheme="minorEastAsia" w:hAnsiTheme="minorEastAsia" w:eastAsiaTheme="minorEastAsia" w:cstheme="minorEastAsia"/>
          <w:sz w:val="28"/>
          <w:szCs w:val="28"/>
          <w:lang w:val="en-US" w:eastAsia="zh-CN"/>
        </w:rPr>
        <w:t>等于</w:t>
      </w:r>
      <w:r>
        <w:rPr>
          <w:rFonts w:hint="eastAsia" w:asciiTheme="minorEastAsia" w:hAnsiTheme="minorEastAsia" w:eastAsiaTheme="minorEastAsia" w:cstheme="minorEastAsia"/>
          <w:sz w:val="28"/>
          <w:szCs w:val="28"/>
        </w:rPr>
        <w:t>1700平方米，</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完成1700平方米，分值15，得分15。</w:t>
      </w:r>
    </w:p>
    <w:p w14:paraId="15BA5261">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2、质量指标</w:t>
      </w:r>
    </w:p>
    <w:p w14:paraId="378A1D82">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2)房间取暖温度达标率，目标值</w:t>
      </w:r>
      <w:r>
        <w:rPr>
          <w:rFonts w:hint="eastAsia" w:asciiTheme="minorEastAsia" w:hAnsiTheme="minorEastAsia" w:eastAsiaTheme="minorEastAsia" w:cstheme="minorEastAsia"/>
          <w:sz w:val="28"/>
          <w:szCs w:val="28"/>
          <w:lang w:val="en-US" w:eastAsia="zh-CN"/>
        </w:rPr>
        <w:t>大于等于</w:t>
      </w:r>
      <w:r>
        <w:rPr>
          <w:rFonts w:hint="eastAsia" w:asciiTheme="minorEastAsia" w:hAnsiTheme="minorEastAsia" w:eastAsiaTheme="minorEastAsia" w:cstheme="minorEastAsia"/>
          <w:sz w:val="28"/>
          <w:szCs w:val="28"/>
        </w:rPr>
        <w:t>90%，</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完成90%，分值15，得分15。</w:t>
      </w:r>
    </w:p>
    <w:p w14:paraId="61B812B8">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3、时效指标</w:t>
      </w:r>
    </w:p>
    <w:p w14:paraId="45A0E2C8">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3)供暖服务时间，目标值</w:t>
      </w:r>
      <w:r>
        <w:rPr>
          <w:rFonts w:hint="eastAsia" w:asciiTheme="minorEastAsia" w:hAnsiTheme="minorEastAsia" w:eastAsiaTheme="minorEastAsia" w:cstheme="minorEastAsia"/>
          <w:sz w:val="28"/>
          <w:szCs w:val="28"/>
          <w:lang w:val="en-US" w:eastAsia="zh-CN"/>
        </w:rPr>
        <w:t>等于</w:t>
      </w:r>
      <w:r>
        <w:rPr>
          <w:rFonts w:hint="eastAsia" w:asciiTheme="minorEastAsia" w:hAnsiTheme="minorEastAsia" w:eastAsiaTheme="minorEastAsia" w:cstheme="minorEastAsia"/>
          <w:sz w:val="28"/>
          <w:szCs w:val="28"/>
        </w:rPr>
        <w:t>6个/月，</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完成6个/月，分值10，得分10。</w:t>
      </w:r>
    </w:p>
    <w:p w14:paraId="669BFC0A">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4、成本指标</w:t>
      </w:r>
    </w:p>
    <w:p w14:paraId="3E6FE367">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4)供暖费总成本，目标值</w:t>
      </w:r>
      <w:r>
        <w:rPr>
          <w:rFonts w:hint="eastAsia" w:asciiTheme="minorEastAsia" w:hAnsiTheme="minorEastAsia" w:eastAsiaTheme="minorEastAsia" w:cstheme="minorEastAsia"/>
          <w:sz w:val="28"/>
          <w:szCs w:val="28"/>
          <w:lang w:val="en-US" w:eastAsia="zh-CN"/>
        </w:rPr>
        <w:t>等于</w:t>
      </w:r>
      <w:r>
        <w:rPr>
          <w:rFonts w:hint="eastAsia" w:asciiTheme="minorEastAsia" w:hAnsiTheme="minorEastAsia" w:eastAsiaTheme="minorEastAsia" w:cstheme="minorEastAsia"/>
          <w:sz w:val="28"/>
          <w:szCs w:val="28"/>
        </w:rPr>
        <w:t>5.1万元，</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完成5.13万元，分值10，得分10。</w:t>
      </w:r>
    </w:p>
    <w:p w14:paraId="6FED1A7F">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 效益指标完成情况</w:t>
      </w:r>
    </w:p>
    <w:p w14:paraId="4E377E1A">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5、经济效益</w:t>
      </w:r>
    </w:p>
    <w:p w14:paraId="76440A67">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6、社会效益</w:t>
      </w:r>
    </w:p>
    <w:p w14:paraId="1FC46768">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5)通过供暖服务对改善工作服务环境的提升程度，目标值显著，</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完成显著，分值15，得分15。</w:t>
      </w:r>
    </w:p>
    <w:p w14:paraId="6ED446A4">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7、生态效益</w:t>
      </w:r>
    </w:p>
    <w:p w14:paraId="4A5E3997">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8、可持续影响</w:t>
      </w:r>
    </w:p>
    <w:p w14:paraId="1048D58D">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6)相关机制的健全性，目标值健全，</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完成健全，分值15，得分15。</w:t>
      </w:r>
    </w:p>
    <w:p w14:paraId="7955E0EC">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 满意度指标完成情况</w:t>
      </w:r>
    </w:p>
    <w:p w14:paraId="53B87587">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9、服务对象满意度</w:t>
      </w:r>
    </w:p>
    <w:p w14:paraId="014F1B51">
      <w:pPr>
        <w:spacing w:line="620" w:lineRule="exact"/>
        <w:ind w:left="420" w:leftChars="20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7)相关人员满意度，目标值</w:t>
      </w:r>
      <w:r>
        <w:rPr>
          <w:rFonts w:hint="eastAsia" w:asciiTheme="minorEastAsia" w:hAnsiTheme="minorEastAsia" w:eastAsiaTheme="minorEastAsia" w:cstheme="minorEastAsia"/>
          <w:sz w:val="28"/>
          <w:szCs w:val="28"/>
          <w:lang w:val="en-US" w:eastAsia="zh-CN"/>
        </w:rPr>
        <w:t>大于等于</w:t>
      </w:r>
      <w:r>
        <w:rPr>
          <w:rFonts w:hint="eastAsia" w:asciiTheme="minorEastAsia" w:hAnsiTheme="minorEastAsia" w:eastAsiaTheme="minorEastAsia" w:cstheme="minorEastAsia"/>
          <w:sz w:val="28"/>
          <w:szCs w:val="28"/>
        </w:rPr>
        <w:t>90%，</w:t>
      </w:r>
      <w:r>
        <w:rPr>
          <w:rFonts w:hint="eastAsia" w:asciiTheme="minorEastAsia" w:hAnsiTheme="minorEastAsia" w:eastAsiaTheme="minorEastAsia" w:cstheme="minorEastAsia"/>
          <w:sz w:val="28"/>
          <w:szCs w:val="28"/>
          <w:lang w:val="en-US" w:eastAsia="zh-CN"/>
        </w:rPr>
        <w:t>实际</w:t>
      </w:r>
      <w:r>
        <w:rPr>
          <w:rFonts w:hint="eastAsia" w:asciiTheme="minorEastAsia" w:hAnsiTheme="minorEastAsia" w:eastAsiaTheme="minorEastAsia" w:cstheme="minorEastAsia"/>
          <w:sz w:val="28"/>
          <w:szCs w:val="28"/>
        </w:rPr>
        <w:t>完成90%，分值10，得分10。</w:t>
      </w:r>
    </w:p>
    <w:p w14:paraId="27E2CF3C">
      <w:pPr>
        <w:spacing w:line="620" w:lineRule="exact"/>
        <w:ind w:left="420" w:leftChars="200"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四</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自评得分情况</w:t>
      </w:r>
    </w:p>
    <w:p w14:paraId="64A8DB08">
      <w:pPr>
        <w:spacing w:line="620" w:lineRule="exac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本项目绩效自评得分100分，等级为A</w:t>
      </w:r>
      <w:r>
        <w:rPr>
          <w:rFonts w:hint="eastAsia" w:asciiTheme="minorEastAsia" w:hAnsiTheme="minorEastAsia" w:eastAsiaTheme="minorEastAsia" w:cstheme="minorEastAsia"/>
          <w:sz w:val="28"/>
          <w:szCs w:val="28"/>
          <w:lang w:eastAsia="zh-CN"/>
        </w:rPr>
        <w:t>。</w:t>
      </w:r>
    </w:p>
    <w:p w14:paraId="6A38F5C1">
      <w:pPr>
        <w:numPr>
          <w:ilvl w:val="0"/>
          <w:numId w:val="3"/>
        </w:numPr>
        <w:spacing w:line="240" w:lineRule="auto"/>
        <w:ind w:left="0" w:firstLine="0" w:firstLineChars="0"/>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存在</w:t>
      </w:r>
      <w:r>
        <w:rPr>
          <w:rFonts w:hint="eastAsia" w:asciiTheme="minorEastAsia" w:hAnsiTheme="minorEastAsia" w:eastAsiaTheme="minorEastAsia" w:cstheme="minorEastAsia"/>
          <w:b/>
          <w:sz w:val="32"/>
          <w:szCs w:val="32"/>
          <w:lang w:val="en-US" w:eastAsia="zh-CN"/>
        </w:rPr>
        <w:t>问题</w:t>
      </w:r>
    </w:p>
    <w:p w14:paraId="6B4FF1EC">
      <w:pPr>
        <w:numPr>
          <w:ilvl w:val="0"/>
          <w:numId w:val="6"/>
        </w:numPr>
        <w:spacing w:line="240" w:lineRule="auto"/>
        <w:ind w:left="240" w:leftChars="0" w:firstLine="0" w:firstLineChars="0"/>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项目立项、实施存在问题。</w:t>
      </w:r>
    </w:p>
    <w:p w14:paraId="23509E34">
      <w:pPr>
        <w:numPr>
          <w:ilvl w:val="0"/>
          <w:numId w:val="6"/>
        </w:numPr>
        <w:spacing w:line="240" w:lineRule="auto"/>
        <w:ind w:left="240" w:leftChars="0" w:firstLine="0" w:firstLineChars="0"/>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资金管理使用存在问题</w:t>
      </w:r>
    </w:p>
    <w:p w14:paraId="0052692F">
      <w:pPr>
        <w:spacing w:line="240" w:lineRule="auto"/>
        <w:ind w:left="420" w:firstLine="420" w:firstLineChars="0"/>
        <w:rPr>
          <w:rFonts w:hint="eastAsia" w:asciiTheme="minorEastAsia" w:hAnsiTheme="minorEastAsia" w:eastAsiaTheme="minorEastAsia" w:cstheme="minorEastAsia"/>
          <w:b/>
          <w:sz w:val="28"/>
          <w:szCs w:val="28"/>
        </w:rPr>
      </w:pPr>
    </w:p>
    <w:p w14:paraId="1001789E">
      <w:pPr>
        <w:spacing w:line="240" w:lineRule="auto"/>
        <w:ind w:firstLine="0" w:firstLineChars="0"/>
        <w:rPr>
          <w:rFonts w:hint="eastAsia" w:asciiTheme="minorEastAsia" w:hAnsiTheme="minorEastAsia" w:eastAsiaTheme="minorEastAsia" w:cstheme="minorEastAsia"/>
          <w:b/>
          <w:sz w:val="32"/>
          <w:szCs w:val="32"/>
          <w:lang w:val="en-US" w:eastAsia="zh-CN"/>
        </w:rPr>
      </w:pPr>
      <w:r>
        <w:rPr>
          <w:rFonts w:hint="eastAsia" w:asciiTheme="minorEastAsia" w:hAnsiTheme="minorEastAsia" w:eastAsiaTheme="minorEastAsia" w:cstheme="minorEastAsia"/>
          <w:b/>
          <w:sz w:val="28"/>
          <w:szCs w:val="28"/>
        </w:rPr>
        <w:t>五、</w:t>
      </w:r>
      <w:r>
        <w:rPr>
          <w:rFonts w:hint="eastAsia" w:asciiTheme="minorEastAsia" w:hAnsiTheme="minorEastAsia" w:eastAsiaTheme="minorEastAsia" w:cstheme="minorEastAsia"/>
          <w:b/>
          <w:sz w:val="32"/>
          <w:szCs w:val="32"/>
        </w:rPr>
        <w:t>其他需要说明的</w:t>
      </w:r>
      <w:r>
        <w:rPr>
          <w:rFonts w:hint="eastAsia" w:asciiTheme="minorEastAsia" w:hAnsiTheme="minorEastAsia" w:eastAsiaTheme="minorEastAsia" w:cstheme="minorEastAsia"/>
          <w:b/>
          <w:sz w:val="32"/>
          <w:szCs w:val="32"/>
          <w:lang w:val="en-US" w:eastAsia="zh-CN"/>
        </w:rPr>
        <w:t>问题</w:t>
      </w:r>
    </w:p>
    <w:p w14:paraId="1F175077">
      <w:pPr>
        <w:spacing w:before="188" w:line="204" w:lineRule="auto"/>
        <w:ind w:firstLine="57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（一）后续工作计划。</w:t>
      </w:r>
    </w:p>
    <w:p w14:paraId="7E3806BC">
      <w:pPr>
        <w:widowControl/>
        <w:spacing w:before="240" w:after="240"/>
        <w:jc w:val="left"/>
        <w:rPr>
          <w:rFonts w:ascii="Times New Roman" w:hAnsi="Times New Roman" w:eastAsia="Times New Roman" w:cs="Times New Roman"/>
          <w:kern w:val="0"/>
          <w:sz w:val="24"/>
        </w:rPr>
      </w:pPr>
      <w:r>
        <w:rPr>
          <w:rFonts w:hint="eastAsia" w:asciiTheme="minorEastAsia" w:hAnsiTheme="minorEastAsia" w:eastAsiaTheme="minorEastAsia" w:cstheme="minorEastAsia"/>
          <w:spacing w:val="1"/>
          <w:sz w:val="28"/>
          <w:szCs w:val="28"/>
        </w:rPr>
        <w:t xml:space="preserve"> </w:t>
      </w:r>
      <w:r>
        <w:rPr>
          <w:rFonts w:hint="eastAsia" w:asciiTheme="minorEastAsia" w:hAnsiTheme="minorEastAsia" w:eastAsiaTheme="minorEastAsia" w:cstheme="minorEastAsia"/>
          <w:spacing w:val="1"/>
          <w:sz w:val="28"/>
          <w:szCs w:val="28"/>
          <w:lang w:val="en-US" w:eastAsia="zh-CN"/>
        </w:rPr>
        <w:t xml:space="preserve">  </w:t>
      </w:r>
      <w:r>
        <w:rPr>
          <w:rFonts w:hint="eastAsia" w:asciiTheme="minorEastAsia" w:hAnsiTheme="minorEastAsia" w:eastAsiaTheme="minorEastAsia" w:cstheme="minorEastAsia"/>
          <w:spacing w:val="1"/>
          <w:sz w:val="28"/>
          <w:szCs w:val="28"/>
        </w:rPr>
        <w:t>持续做好取暖费项目，保证项目资金有效使用，精准发放。保证项目实施依据充分，明确绩效目标，严格按照预算执行，资金使用符合财务制度，继续优化调整本单位后续项目工作和以后年度预算支出的方向和结构，合理配置资源、加强财务管理、切实提高项目管理水平、财政资金的使用效益和和单位工作效率。强化评价结果在项目申报的预算编制中的有效应用。切实提高项目管理水平、财政资金的使用效益和和单位工作效率。强化评价结果在项目申报的预算编制中的有效应用。</w:t>
      </w:r>
      <w:r>
        <w:rPr>
          <w:rFonts w:hint="eastAsia" w:asciiTheme="minorEastAsia" w:hAnsiTheme="minorEastAsia" w:eastAsiaTheme="minorEastAsia" w:cstheme="minorEastAsia"/>
          <w:spacing w:val="1"/>
          <w:sz w:val="28"/>
          <w:szCs w:val="28"/>
        </w:rPr>
        <w:cr/>
      </w:r>
      <w:r>
        <w:rPr>
          <w:rFonts w:hint="default" w:ascii="仿宋" w:hAnsi="仿宋" w:eastAsia="仿宋" w:cs="仿宋"/>
          <w:spacing w:val="1"/>
          <w:sz w:val="30"/>
          <w:szCs w:val="30"/>
        </w:rPr>
        <w:cr/>
      </w:r>
    </w:p>
    <w:p w14:paraId="4AF9FE1D">
      <w:pPr>
        <w:pStyle w:val="3"/>
        <w:keepNext w:val="0"/>
        <w:keepLines w:val="0"/>
        <w:widowControl/>
        <w:spacing w:before="299" w:after="299" w:line="240" w:lineRule="auto"/>
        <w:jc w:val="center"/>
        <w:rPr>
          <w:rFonts w:ascii="fang_zheng_xiao_biao_song_ti" w:hAnsi="fang_zheng_xiao_biao_song_ti" w:eastAsia="fang_zheng_xiao_biao_song_ti" w:cs="fang_zheng_xiao_biao_song_ti"/>
          <w:kern w:val="0"/>
          <w:sz w:val="36"/>
          <w:szCs w:val="36"/>
        </w:rPr>
      </w:pPr>
    </w:p>
    <w:p w14:paraId="31C11B41">
      <w:pPr>
        <w:rPr>
          <w:rFonts w:ascii="fang_zheng_xiao_biao_song_ti" w:hAnsi="fang_zheng_xiao_biao_song_ti" w:eastAsia="fang_zheng_xiao_biao_song_ti" w:cs="fang_zheng_xiao_biao_song_ti"/>
          <w:kern w:val="0"/>
          <w:sz w:val="36"/>
          <w:szCs w:val="36"/>
        </w:rPr>
      </w:pPr>
    </w:p>
    <w:p w14:paraId="39999BAE">
      <w:pPr>
        <w:rPr>
          <w:rFonts w:ascii="fang_zheng_xiao_biao_song_ti" w:hAnsi="fang_zheng_xiao_biao_song_ti" w:eastAsia="fang_zheng_xiao_biao_song_ti" w:cs="fang_zheng_xiao_biao_song_ti"/>
          <w:kern w:val="0"/>
          <w:sz w:val="36"/>
          <w:szCs w:val="36"/>
        </w:rPr>
      </w:pPr>
    </w:p>
    <w:p w14:paraId="270E27FA">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第三部分  名词解释</w:t>
      </w:r>
    </w:p>
    <w:p w14:paraId="417D980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一、财政拨款收入：</w:t>
      </w:r>
      <w:r>
        <w:rPr>
          <w:rFonts w:ascii="fang_song_gb2312" w:hAnsi="fang_song_gb2312" w:eastAsia="fang_song_gb2312" w:cs="fang_song_gb2312"/>
          <w:kern w:val="0"/>
          <w:sz w:val="27"/>
          <w:szCs w:val="27"/>
        </w:rPr>
        <w:t>从同级财政部门取得的各类财政拨款，包括一般公共预算财政拨款、政府性基金预算财政拨款、国有资本经营预算财政拨款。</w:t>
      </w:r>
    </w:p>
    <w:p w14:paraId="3A48ECB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二、上级补助收入：</w:t>
      </w:r>
      <w:r>
        <w:rPr>
          <w:rFonts w:ascii="fang_song_gb2312" w:hAnsi="fang_song_gb2312" w:eastAsia="fang_song_gb2312" w:cs="fang_song_gb2312"/>
          <w:kern w:val="0"/>
          <w:sz w:val="27"/>
          <w:szCs w:val="27"/>
        </w:rPr>
        <w:t>指事业单位从主管部门和上级单位取得的非财政补助收入。</w:t>
      </w:r>
    </w:p>
    <w:p w14:paraId="24973D9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三、财政专户管理教育收费：</w:t>
      </w:r>
      <w:r>
        <w:rPr>
          <w:rFonts w:ascii="fang_song_gb2312" w:hAnsi="fang_song_gb2312" w:eastAsia="fang_song_gb2312" w:cs="fang_song_gb2312"/>
          <w:kern w:val="0"/>
          <w:sz w:val="27"/>
          <w:szCs w:val="27"/>
        </w:rPr>
        <w:t>指缴入财政专户、实行专项管理的高中以上学费、住宿费、高校委托培养费、函大、电大、夜大及短训班培训费等教育收费。</w:t>
      </w:r>
    </w:p>
    <w:p w14:paraId="383F9A78">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四、事业收入：</w:t>
      </w:r>
      <w:r>
        <w:rPr>
          <w:rFonts w:ascii="fang_song_gb2312" w:hAnsi="fang_song_gb2312" w:eastAsia="fang_song_gb2312" w:cs="fang_song_gb2312"/>
          <w:kern w:val="0"/>
          <w:sz w:val="27"/>
          <w:szCs w:val="27"/>
        </w:rPr>
        <w:t>指事业单位开展专业业务活动及其辅助活动取得的收入。</w:t>
      </w:r>
    </w:p>
    <w:p w14:paraId="1D4ED89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五、经营收入：</w:t>
      </w:r>
      <w:r>
        <w:rPr>
          <w:rFonts w:ascii="fang_song_gb2312" w:hAnsi="fang_song_gb2312" w:eastAsia="fang_song_gb2312" w:cs="fang_song_gb2312"/>
          <w:kern w:val="0"/>
          <w:sz w:val="27"/>
          <w:szCs w:val="27"/>
        </w:rPr>
        <w:t>指事业单位在专业业务活动及其辅助活动之外开展非独立核算经营活动取得的收入。</w:t>
      </w:r>
    </w:p>
    <w:p w14:paraId="4B480E9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六、附属单位上缴收入：</w:t>
      </w:r>
      <w:r>
        <w:rPr>
          <w:rFonts w:ascii="fang_song_gb2312" w:hAnsi="fang_song_gb2312" w:eastAsia="fang_song_gb2312" w:cs="fang_song_gb2312"/>
          <w:kern w:val="0"/>
          <w:sz w:val="27"/>
          <w:szCs w:val="27"/>
        </w:rPr>
        <w:t>指事业单位取得附属独立核算单位按照有关规定上缴的收入。</w:t>
      </w:r>
    </w:p>
    <w:p w14:paraId="16108E16">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七、其他收入：</w:t>
      </w:r>
      <w:r>
        <w:rPr>
          <w:rFonts w:ascii="fang_song_gb2312" w:hAnsi="fang_song_gb2312" w:eastAsia="fang_song_gb2312" w:cs="fang_song_gb2312"/>
          <w:kern w:val="0"/>
          <w:sz w:val="27"/>
          <w:szCs w:val="27"/>
        </w:rPr>
        <w:t>取得的除上述“财政拨款收入”、“上级补助收入”、“事业收入”、“经营收入”、“附属单位上缴收入”等以外的各项收入。</w:t>
      </w:r>
    </w:p>
    <w:p w14:paraId="1582416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八、使用非财政拨款结余和专用结余：</w:t>
      </w:r>
      <w:r>
        <w:rPr>
          <w:rFonts w:ascii="fang_song_gb2312" w:hAnsi="fang_song_gb2312" w:eastAsia="fang_song_gb2312" w:cs="fang_song_gb2312"/>
          <w:kern w:val="0"/>
          <w:sz w:val="27"/>
          <w:szCs w:val="27"/>
        </w:rPr>
        <w:t>指事业单位按照预算管理要求使用非财政拨款结余和专用结余弥补当年收支差额的数额。</w:t>
      </w:r>
    </w:p>
    <w:p w14:paraId="62EECA5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九、年初结转和结余：</w:t>
      </w:r>
      <w:r>
        <w:rPr>
          <w:rFonts w:ascii="fang_song_gb2312" w:hAnsi="fang_song_gb2312" w:eastAsia="fang_song_gb2312" w:cs="fang_song_gb2312"/>
          <w:kern w:val="0"/>
          <w:sz w:val="27"/>
          <w:szCs w:val="27"/>
        </w:rPr>
        <w:t>指单位上年结转本年使用的基本支出结转、项目支出结转和结余、经营结余。</w:t>
      </w:r>
    </w:p>
    <w:p w14:paraId="30BF76F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十、结余分配：</w:t>
      </w:r>
      <w:r>
        <w:rPr>
          <w:rFonts w:ascii="fang_song_gb2312" w:hAnsi="fang_song_gb2312" w:eastAsia="fang_song_gb2312" w:cs="fang_song_gb2312"/>
          <w:kern w:val="0"/>
          <w:sz w:val="27"/>
          <w:szCs w:val="27"/>
        </w:rPr>
        <w:t>指事业单位按规定缴纳企业所得税以及从非财政拨款结余或经营结余中提取各类结余的情况。</w:t>
      </w:r>
    </w:p>
    <w:p w14:paraId="03753FD5">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十一、年末结转和结余资金：</w:t>
      </w:r>
      <w:r>
        <w:rPr>
          <w:rFonts w:ascii="fang_song_gb2312" w:hAnsi="fang_song_gb2312" w:eastAsia="fang_song_gb2312" w:cs="fang_song_gb2312"/>
          <w:kern w:val="0"/>
          <w:sz w:val="27"/>
          <w:szCs w:val="27"/>
        </w:rPr>
        <w:t>指单位结转下年的基本支出结转、项目支出结转和结余、经营结余。</w:t>
      </w:r>
    </w:p>
    <w:p w14:paraId="6F078AE1">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十二、基本支出：</w:t>
      </w:r>
      <w:r>
        <w:rPr>
          <w:rFonts w:ascii="fang_song_gb2312" w:hAnsi="fang_song_gb2312" w:eastAsia="fang_song_gb2312" w:cs="fang_song_gb2312"/>
          <w:kern w:val="0"/>
          <w:sz w:val="27"/>
          <w:szCs w:val="27"/>
        </w:rPr>
        <w:t>指为保障机构正常运转、完成日常工作任务所发生的支出，包括人员经费和公用经费。</w:t>
      </w:r>
    </w:p>
    <w:p w14:paraId="22370DB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十三、项目支出：</w:t>
      </w:r>
      <w:r>
        <w:rPr>
          <w:rFonts w:ascii="fang_song_gb2312" w:hAnsi="fang_song_gb2312" w:eastAsia="fang_song_gb2312" w:cs="fang_song_gb2312"/>
          <w:kern w:val="0"/>
          <w:sz w:val="27"/>
          <w:szCs w:val="27"/>
        </w:rPr>
        <w:t>指在为完成特定的工作任务和事业发展目标所发生的支出。</w:t>
      </w:r>
    </w:p>
    <w:p w14:paraId="42AC4347">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十四、上缴上级支出：</w:t>
      </w:r>
      <w:r>
        <w:rPr>
          <w:rFonts w:ascii="fang_song_gb2312" w:hAnsi="fang_song_gb2312" w:eastAsia="fang_song_gb2312" w:cs="fang_song_gb2312"/>
          <w:kern w:val="0"/>
          <w:sz w:val="27"/>
          <w:szCs w:val="27"/>
        </w:rPr>
        <w:t>指事业单位按照财政部门和主管部门的规定上缴上级单位的支出。</w:t>
      </w:r>
    </w:p>
    <w:p w14:paraId="4D7885E9">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十五、经营支出：</w:t>
      </w:r>
      <w:r>
        <w:rPr>
          <w:rFonts w:ascii="fang_song_gb2312" w:hAnsi="fang_song_gb2312" w:eastAsia="fang_song_gb2312" w:cs="fang_song_gb2312"/>
          <w:kern w:val="0"/>
          <w:sz w:val="27"/>
          <w:szCs w:val="27"/>
        </w:rPr>
        <w:t>指事业单位在专业业务活动及其辅助活动之外开展非独立核算经营活动发生的支出。</w:t>
      </w:r>
    </w:p>
    <w:p w14:paraId="1A545D02">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十六、对附属单位补助支出：</w:t>
      </w:r>
      <w:r>
        <w:rPr>
          <w:rFonts w:ascii="fang_song_gb2312" w:hAnsi="fang_song_gb2312" w:eastAsia="fang_song_gb2312" w:cs="fang_song_gb2312"/>
          <w:kern w:val="0"/>
          <w:sz w:val="27"/>
          <w:szCs w:val="27"/>
        </w:rPr>
        <w:t>指事业单位用财政拨款收入之外的收入对附属单位补助发生的支出。</w:t>
      </w:r>
    </w:p>
    <w:p w14:paraId="7638832C">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十七、“三公”经费：</w:t>
      </w:r>
      <w:r>
        <w:rPr>
          <w:rFonts w:ascii="fang_song_gb2312" w:hAnsi="fang_song_gb2312" w:eastAsia="fang_song_gb2312" w:cs="fang_song_gb2312"/>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05C36E9E">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十八、机构运行经费：</w:t>
      </w:r>
      <w:r>
        <w:rPr>
          <w:rFonts w:ascii="fang_song_gb2312" w:hAnsi="fang_song_gb2312" w:eastAsia="fang_song_gb2312" w:cs="fang_song_gb2312"/>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6E8EDE0">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color w:val="0E00FE"/>
          <w:kern w:val="0"/>
          <w:sz w:val="27"/>
          <w:szCs w:val="27"/>
        </w:rPr>
        <w:t xml:space="preserve">  </w:t>
      </w:r>
    </w:p>
    <w:p w14:paraId="74715886">
      <w:pPr>
        <w:pStyle w:val="3"/>
        <w:keepNext w:val="0"/>
        <w:keepLines w:val="0"/>
        <w:widowControl/>
        <w:spacing w:before="299" w:after="299" w:line="240" w:lineRule="auto"/>
        <w:jc w:val="center"/>
        <w:rPr>
          <w:rFonts w:ascii="Times New Roman" w:hAnsi="Times New Roman" w:eastAsia="Times New Roman" w:cs="Times New Roman"/>
          <w:b/>
          <w:bCs/>
          <w:kern w:val="0"/>
          <w:sz w:val="36"/>
          <w:szCs w:val="36"/>
        </w:rPr>
      </w:pPr>
      <w:r>
        <w:rPr>
          <w:rFonts w:ascii="fang_zheng_xiao_biao_song_ti" w:hAnsi="fang_zheng_xiao_biao_song_ti" w:eastAsia="fang_zheng_xiao_biao_song_ti" w:cs="fang_zheng_xiao_biao_song_ti"/>
          <w:kern w:val="0"/>
          <w:sz w:val="36"/>
          <w:szCs w:val="36"/>
        </w:rPr>
        <w:t>第四部分 决算公开联系方式及信息反馈渠道</w:t>
      </w:r>
    </w:p>
    <w:p w14:paraId="7BC15E95">
      <w:pPr>
        <w:widowControl/>
        <w:spacing w:before="240" w:after="240"/>
        <w:jc w:val="left"/>
        <w:rPr>
          <w:rFonts w:ascii="Times New Roman" w:hAnsi="Times New Roman" w:eastAsia="Times New Roman" w:cs="Times New Roman"/>
          <w:kern w:val="0"/>
          <w:sz w:val="24"/>
        </w:rPr>
      </w:pPr>
    </w:p>
    <w:p w14:paraId="18011CAF">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本单位决算公开信息反馈和联系方式：</w:t>
      </w:r>
    </w:p>
    <w:p w14:paraId="45B6C20B">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联系人：</w:t>
      </w:r>
      <w:r>
        <w:rPr>
          <w:rFonts w:ascii="fang_song_gb2312" w:hAnsi="fang_song_gb2312" w:eastAsia="fang_song_gb2312" w:cs="fang_song_gb2312"/>
          <w:kern w:val="0"/>
          <w:sz w:val="27"/>
          <w:szCs w:val="27"/>
          <w:u w:val="single"/>
        </w:rPr>
        <w:t xml:space="preserve">张敏 </w:t>
      </w:r>
      <w:r>
        <w:rPr>
          <w:rFonts w:ascii="fang_song_gb2312" w:hAnsi="fang_song_gb2312" w:eastAsia="fang_song_gb2312" w:cs="fang_song_gb2312"/>
          <w:kern w:val="0"/>
          <w:sz w:val="27"/>
          <w:szCs w:val="27"/>
        </w:rPr>
        <w:t>          联系电话：0471-6305312- </w:t>
      </w:r>
    </w:p>
    <w:p w14:paraId="16B46756">
      <w:pPr>
        <w:widowControl/>
        <w:spacing w:before="240" w:after="240"/>
        <w:jc w:val="left"/>
        <w:rPr>
          <w:rFonts w:ascii="Times New Roman" w:hAnsi="Times New Roman" w:eastAsia="Times New Roman" w:cs="Times New Roman"/>
          <w:kern w:val="0"/>
          <w:sz w:val="24"/>
        </w:rPr>
      </w:pPr>
    </w:p>
    <w:p w14:paraId="53E1AD33">
      <w:pPr>
        <w:widowControl/>
        <w:spacing w:before="240" w:after="240"/>
        <w:jc w:val="center"/>
        <w:rPr>
          <w:rFonts w:ascii="Times New Roman" w:hAnsi="Times New Roman" w:eastAsia="Times New Roman" w:cs="Times New Roman"/>
          <w:kern w:val="0"/>
          <w:sz w:val="24"/>
        </w:rPr>
      </w:pPr>
      <w:r>
        <w:rPr>
          <w:rFonts w:ascii="fang_zheng_xiao_biao_song_ti" w:hAnsi="fang_zheng_xiao_biao_song_ti" w:eastAsia="fang_zheng_xiao_biao_song_ti" w:cs="fang_zheng_xiao_biao_song_ti"/>
          <w:b/>
          <w:bCs/>
          <w:kern w:val="0"/>
          <w:sz w:val="36"/>
          <w:szCs w:val="36"/>
        </w:rPr>
        <w:t>第五部分 单位决算表</w:t>
      </w:r>
    </w:p>
    <w:p w14:paraId="5019EA99">
      <w:pPr>
        <w:widowControl/>
        <w:spacing w:before="240" w:after="240"/>
        <w:jc w:val="center"/>
        <w:rPr>
          <w:rFonts w:ascii="Times New Roman" w:hAnsi="Times New Roman" w:eastAsia="Times New Roman" w:cs="Times New Roman"/>
          <w:kern w:val="0"/>
          <w:sz w:val="24"/>
        </w:rPr>
      </w:pPr>
    </w:p>
    <w:p w14:paraId="7536EE34">
      <w:pPr>
        <w:widowControl/>
        <w:spacing w:before="240" w:after="240"/>
        <w:jc w:val="left"/>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见附件。1</w:t>
      </w:r>
    </w:p>
    <w:p w14:paraId="086C1F07">
      <w:pPr>
        <w:widowControl/>
        <w:spacing w:before="240" w:after="240"/>
        <w:jc w:val="left"/>
        <w:rPr>
          <w:rFonts w:ascii="Times New Roman" w:hAnsi="Times New Roman" w:eastAsia="Times New Roman" w:cs="Times New Roman"/>
          <w:kern w:val="0"/>
          <w:sz w:val="24"/>
        </w:rPr>
      </w:pPr>
    </w:p>
    <w:p w14:paraId="6CF50235">
      <w:pPr>
        <w:widowControl/>
        <w:spacing w:before="240" w:after="240"/>
        <w:jc w:val="left"/>
        <w:rPr>
          <w:rFonts w:ascii="Times New Roman" w:hAnsi="Times New Roman" w:eastAsia="Times New Roman" w:cs="Times New Roman"/>
          <w:kern w:val="0"/>
          <w:sz w:val="24"/>
        </w:rPr>
      </w:pPr>
    </w:p>
    <w:p w14:paraId="4BCE56EB">
      <w:pPr>
        <w:widowControl/>
        <w:spacing w:before="240" w:after="240"/>
        <w:jc w:val="left"/>
        <w:rPr>
          <w:rFonts w:ascii="Times New Roman" w:hAnsi="Times New Roman" w:eastAsia="Times New Roman" w:cs="Times New Roman"/>
          <w:kern w:val="0"/>
          <w:sz w:val="24"/>
        </w:rPr>
      </w:pPr>
    </w:p>
    <w:bookmarkEnd w:id="0"/>
    <w:p w14:paraId="7617F8DE">
      <w:pPr>
        <w:adjustRightInd w:val="0"/>
        <w:snapToGrid w:val="0"/>
        <w:rPr>
          <w:rFonts w:ascii="宋体" w:hAnsi="宋体"/>
          <w:b/>
          <w:sz w:val="32"/>
          <w:szCs w:val="32"/>
        </w:rPr>
      </w:pPr>
    </w:p>
    <w:p w14:paraId="16B721BE">
      <w:pPr>
        <w:adjustRightInd w:val="0"/>
        <w:snapToGrid w:val="0"/>
        <w:rPr>
          <w:rFonts w:ascii="宋体" w:hAnsi="宋体"/>
          <w:b/>
          <w:sz w:val="32"/>
          <w:szCs w:val="32"/>
        </w:rPr>
      </w:pPr>
    </w:p>
    <w:p w14:paraId="064DC7E7">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1" w:fontKey="{C4DE8F88-F3E9-47E7-AB4C-0BF83D6EACA1}"/>
  </w:font>
  <w:font w:name="fang_song_gb2312">
    <w:altName w:val="Segoe Print"/>
    <w:panose1 w:val="00000000000000000000"/>
    <w:charset w:val="00"/>
    <w:family w:val="auto"/>
    <w:pitch w:val="default"/>
    <w:sig w:usb0="00000000" w:usb1="00000000" w:usb2="00000000" w:usb3="00000000" w:csb0="00000000" w:csb1="00000000"/>
    <w:embedRegular r:id="rId2" w:fontKey="{AA739F5E-1C3E-4737-A8A2-A7B210E97E03}"/>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embedRegular r:id="rId3" w:fontKey="{A4C96D93-E4C3-4198-BEB7-A0059A49FA31}"/>
  </w:font>
  <w:font w:name="kai_ti_gb2312">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方正小标宋简体">
    <w:panose1 w:val="02000000000000000000"/>
    <w:charset w:val="86"/>
    <w:family w:val="roman"/>
    <w:pitch w:val="default"/>
    <w:sig w:usb0="00000001" w:usb1="08000000" w:usb2="00000000" w:usb3="00000000" w:csb0="00040000" w:csb1="00000000"/>
    <w:embedRegular r:id="rId4" w:fontKey="{9F871F67-4D20-427F-8C69-26537DC0FF0D}"/>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89AC1">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3"/>
      <w:jc w:val="center"/>
    </w:pPr>
    <w:r>
      <w:fldChar w:fldCharType="begin"/>
    </w:r>
    <w:r>
      <w:instrText xml:space="preserve"> PAGE   \* MERGEFORMAT </w:instrText>
    </w:r>
    <w:r>
      <w:fldChar w:fldCharType="separate"/>
    </w:r>
    <w:r>
      <w:rPr>
        <w:lang w:val="zh-CN"/>
      </w:rPr>
      <w:t>23</w:t>
    </w:r>
    <w:r>
      <w:rPr>
        <w:lang w:val="zh-CN"/>
      </w:rPr>
      <w:fldChar w:fldCharType="end"/>
    </w:r>
  </w:p>
  <w:p w14:paraId="2E0A9122">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4BB1F1"/>
    <w:multiLevelType w:val="multilevel"/>
    <w:tmpl w:val="994BB1F1"/>
    <w:lvl w:ilvl="0" w:tentative="0">
      <w:start w:val="1"/>
      <w:numFmt w:val="japaneseCounting"/>
      <w:lvlText w:val="%1、"/>
      <w:lvlJc w:val="left"/>
      <w:pPr>
        <w:ind w:left="1310" w:hanging="72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ADA24D32"/>
    <w:multiLevelType w:val="singleLevel"/>
    <w:tmpl w:val="ADA24D32"/>
    <w:lvl w:ilvl="0" w:tentative="0">
      <w:start w:val="1"/>
      <w:numFmt w:val="chineseCounting"/>
      <w:suff w:val="nothing"/>
      <w:lvlText w:val="（%1）"/>
      <w:lvlJc w:val="left"/>
      <w:pPr>
        <w:ind w:left="240"/>
      </w:pPr>
      <w:rPr>
        <w:rFonts w:hint="eastAsia"/>
      </w:rPr>
    </w:lvl>
  </w:abstractNum>
  <w:abstractNum w:abstractNumId="2">
    <w:nsid w:val="EA70A1AF"/>
    <w:multiLevelType w:val="singleLevel"/>
    <w:tmpl w:val="EA70A1AF"/>
    <w:lvl w:ilvl="0" w:tentative="0">
      <w:start w:val="1"/>
      <w:numFmt w:val="chineseCounting"/>
      <w:suff w:val="nothing"/>
      <w:lvlText w:val="（%1）"/>
      <w:lvlJc w:val="left"/>
      <w:pPr>
        <w:ind w:left="499" w:leftChars="0" w:firstLine="0" w:firstLineChars="0"/>
      </w:pPr>
      <w:rPr>
        <w:rFonts w:hint="eastAsia"/>
      </w:rPr>
    </w:lvl>
  </w:abstractNum>
  <w:abstractNum w:abstractNumId="3">
    <w:nsid w:val="FBB8592C"/>
    <w:multiLevelType w:val="singleLevel"/>
    <w:tmpl w:val="FBB8592C"/>
    <w:lvl w:ilvl="0" w:tentative="0">
      <w:start w:val="1"/>
      <w:numFmt w:val="chineseCounting"/>
      <w:suff w:val="nothing"/>
      <w:lvlText w:val="（%1）"/>
      <w:lvlJc w:val="left"/>
      <w:pPr>
        <w:ind w:left="53"/>
      </w:pPr>
      <w:rPr>
        <w:rFonts w:hint="eastAsia"/>
      </w:rPr>
    </w:lvl>
  </w:abstractNum>
  <w:abstractNum w:abstractNumId="4">
    <w:nsid w:val="0CF258D6"/>
    <w:multiLevelType w:val="singleLevel"/>
    <w:tmpl w:val="0CF258D6"/>
    <w:lvl w:ilvl="0" w:tentative="0">
      <w:start w:val="2"/>
      <w:numFmt w:val="chineseCounting"/>
      <w:suff w:val="nothing"/>
      <w:lvlText w:val="（%1）"/>
      <w:lvlJc w:val="left"/>
      <w:rPr>
        <w:rFonts w:hint="eastAsia"/>
      </w:rPr>
    </w:lvl>
  </w:abstractNum>
  <w:abstractNum w:abstractNumId="5">
    <w:nsid w:val="3CF716E3"/>
    <w:multiLevelType w:val="singleLevel"/>
    <w:tmpl w:val="3CF716E3"/>
    <w:lvl w:ilvl="0" w:tentative="0">
      <w:start w:val="1"/>
      <w:numFmt w:val="decimal"/>
      <w:suff w:val="nothing"/>
      <w:lvlText w:val="%1．"/>
      <w:lvlJc w:val="left"/>
      <w:pPr>
        <w:ind w:left="499" w:leftChars="0" w:firstLine="0" w:firstLineChars="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5OWFjYWY5NGM0ODY1OTY3ZGE2N2Y0YzNjYjY0ODg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077BA"/>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4212925"/>
    <w:rsid w:val="0AA5489E"/>
    <w:rsid w:val="146873D4"/>
    <w:rsid w:val="15321D14"/>
    <w:rsid w:val="1DCB71DE"/>
    <w:rsid w:val="26F4050E"/>
    <w:rsid w:val="29187E89"/>
    <w:rsid w:val="29D957D8"/>
    <w:rsid w:val="328C7344"/>
    <w:rsid w:val="353E2102"/>
    <w:rsid w:val="35EB373D"/>
    <w:rsid w:val="47CA71E7"/>
    <w:rsid w:val="5B0E3999"/>
    <w:rsid w:val="5C9917A8"/>
    <w:rsid w:val="65242D02"/>
    <w:rsid w:val="6EBE77C6"/>
    <w:rsid w:val="73EC4BA7"/>
    <w:rsid w:val="798377F3"/>
    <w:rsid w:val="7C4F1EDF"/>
    <w:rsid w:val="7C9C1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0"/>
    <w:qFormat/>
    <w:uiPriority w:val="0"/>
    <w:pPr>
      <w:keepNext/>
      <w:keepLines/>
      <w:spacing w:before="260" w:after="260" w:line="416" w:lineRule="auto"/>
      <w:outlineLvl w:val="2"/>
    </w:pPr>
    <w:rPr>
      <w:b/>
      <w:bCs/>
      <w:sz w:val="32"/>
      <w:szCs w:val="32"/>
    </w:rPr>
  </w:style>
  <w:style w:type="paragraph" w:styleId="5">
    <w:name w:val="heading 4"/>
    <w:basedOn w:val="1"/>
    <w:next w:val="1"/>
    <w:link w:val="25"/>
    <w:qFormat/>
    <w:uiPriority w:val="0"/>
    <w:pPr>
      <w:keepNext/>
      <w:keepLines/>
      <w:spacing w:before="280" w:after="290" w:line="376" w:lineRule="auto"/>
      <w:outlineLvl w:val="3"/>
    </w:pPr>
    <w:rPr>
      <w:rFonts w:ascii="Cambria" w:hAnsi="Cambria"/>
      <w:b/>
      <w:bCs/>
      <w:sz w:val="28"/>
      <w:szCs w:val="28"/>
    </w:rPr>
  </w:style>
  <w:style w:type="character" w:default="1" w:styleId="22">
    <w:name w:val="Default Paragraph Font"/>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Normal Indent"/>
    <w:basedOn w:val="1"/>
    <w:qFormat/>
    <w:uiPriority w:val="0"/>
    <w:pPr>
      <w:ind w:firstLine="420" w:firstLineChars="200"/>
    </w:pPr>
  </w:style>
  <w:style w:type="paragraph" w:styleId="8">
    <w:name w:val="Document Map"/>
    <w:basedOn w:val="1"/>
    <w:qFormat/>
    <w:uiPriority w:val="0"/>
    <w:pPr>
      <w:shd w:val="clear" w:color="auto" w:fill="000080"/>
    </w:pPr>
  </w:style>
  <w:style w:type="paragraph" w:styleId="9">
    <w:name w:val="Body Text"/>
    <w:basedOn w:val="1"/>
    <w:semiHidden/>
    <w:qFormat/>
    <w:uiPriority w:val="0"/>
    <w:rPr>
      <w:rFonts w:ascii="Arial" w:hAnsi="Arial" w:eastAsia="Arial" w:cs="Arial"/>
      <w:sz w:val="21"/>
      <w:szCs w:val="21"/>
      <w:lang w:val="en-US" w:eastAsia="en-US" w:bidi="ar-SA"/>
    </w:rPr>
  </w:style>
  <w:style w:type="paragraph" w:styleId="10">
    <w:name w:val="toc 5"/>
    <w:basedOn w:val="1"/>
    <w:next w:val="1"/>
    <w:autoRedefine/>
    <w:qFormat/>
    <w:uiPriority w:val="0"/>
    <w:pPr>
      <w:ind w:left="840"/>
      <w:jc w:val="left"/>
    </w:pPr>
    <w:rPr>
      <w:sz w:val="20"/>
      <w:szCs w:val="20"/>
    </w:rPr>
  </w:style>
  <w:style w:type="paragraph" w:styleId="11">
    <w:name w:val="toc 3"/>
    <w:basedOn w:val="1"/>
    <w:next w:val="1"/>
    <w:qFormat/>
    <w:uiPriority w:val="0"/>
    <w:pPr>
      <w:adjustRightInd w:val="0"/>
      <w:snapToGrid w:val="0"/>
      <w:spacing w:line="360" w:lineRule="auto"/>
      <w:ind w:firstLine="400" w:firstLineChars="400"/>
      <w:jc w:val="left"/>
    </w:pPr>
    <w:rPr>
      <w:sz w:val="24"/>
      <w:szCs w:val="20"/>
    </w:rPr>
  </w:style>
  <w:style w:type="paragraph" w:styleId="12">
    <w:name w:val="toc 8"/>
    <w:basedOn w:val="1"/>
    <w:next w:val="1"/>
    <w:autoRedefine/>
    <w:qFormat/>
    <w:uiPriority w:val="0"/>
    <w:pPr>
      <w:ind w:left="1470"/>
      <w:jc w:val="left"/>
    </w:pPr>
    <w:rPr>
      <w:sz w:val="20"/>
      <w:szCs w:val="20"/>
    </w:rPr>
  </w:style>
  <w:style w:type="paragraph" w:styleId="13">
    <w:name w:val="footer"/>
    <w:basedOn w:val="1"/>
    <w:link w:val="28"/>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adjustRightInd w:val="0"/>
      <w:snapToGrid w:val="0"/>
      <w:spacing w:line="360" w:lineRule="auto"/>
      <w:jc w:val="left"/>
    </w:pPr>
    <w:rPr>
      <w:b/>
      <w:bCs/>
      <w:sz w:val="24"/>
      <w:szCs w:val="20"/>
    </w:rPr>
  </w:style>
  <w:style w:type="paragraph" w:styleId="16">
    <w:name w:val="toc 4"/>
    <w:basedOn w:val="1"/>
    <w:next w:val="1"/>
    <w:autoRedefine/>
    <w:qFormat/>
    <w:uiPriority w:val="0"/>
    <w:pPr>
      <w:ind w:left="630"/>
      <w:jc w:val="left"/>
    </w:pPr>
    <w:rPr>
      <w:sz w:val="20"/>
      <w:szCs w:val="20"/>
    </w:rPr>
  </w:style>
  <w:style w:type="paragraph" w:styleId="17">
    <w:name w:val="toc 6"/>
    <w:basedOn w:val="1"/>
    <w:next w:val="1"/>
    <w:autoRedefine/>
    <w:qFormat/>
    <w:uiPriority w:val="0"/>
    <w:pPr>
      <w:ind w:left="1050"/>
      <w:jc w:val="left"/>
    </w:pPr>
    <w:rPr>
      <w:sz w:val="20"/>
      <w:szCs w:val="20"/>
    </w:rPr>
  </w:style>
  <w:style w:type="paragraph" w:styleId="18">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9">
    <w:name w:val="toc 9"/>
    <w:basedOn w:val="1"/>
    <w:next w:val="1"/>
    <w:autoRedefine/>
    <w:qFormat/>
    <w:uiPriority w:val="0"/>
    <w:pPr>
      <w:ind w:left="1680"/>
      <w:jc w:val="left"/>
    </w:pPr>
    <w:rPr>
      <w:sz w:val="20"/>
      <w:szCs w:val="20"/>
    </w:rPr>
  </w:style>
  <w:style w:type="paragraph" w:styleId="2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23">
    <w:name w:val="page number"/>
    <w:basedOn w:val="22"/>
    <w:qFormat/>
    <w:uiPriority w:val="0"/>
  </w:style>
  <w:style w:type="character" w:styleId="24">
    <w:name w:val="Hyperlink"/>
    <w:basedOn w:val="22"/>
    <w:qFormat/>
    <w:uiPriority w:val="0"/>
    <w:rPr>
      <w:color w:val="0000FF"/>
      <w:u w:val="single"/>
    </w:rPr>
  </w:style>
  <w:style w:type="character" w:customStyle="1" w:styleId="25">
    <w:name w:val="标题 4 字符"/>
    <w:basedOn w:val="22"/>
    <w:link w:val="5"/>
    <w:qFormat/>
    <w:uiPriority w:val="0"/>
    <w:rPr>
      <w:rFonts w:ascii="Cambria" w:hAnsi="Cambria"/>
      <w:b/>
      <w:bCs/>
      <w:kern w:val="2"/>
      <w:sz w:val="28"/>
      <w:szCs w:val="28"/>
    </w:rPr>
  </w:style>
  <w:style w:type="paragraph" w:styleId="26">
    <w:name w:val="No Spacing"/>
    <w:link w:val="27"/>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7">
    <w:name w:val="无间隔 字符"/>
    <w:link w:val="26"/>
    <w:qFormat/>
    <w:locked/>
    <w:uiPriority w:val="0"/>
    <w:rPr>
      <w:rFonts w:eastAsia="仿宋_GB2312"/>
      <w:sz w:val="30"/>
      <w:szCs w:val="22"/>
      <w:lang w:bidi="ar-SA"/>
    </w:rPr>
  </w:style>
  <w:style w:type="character" w:customStyle="1" w:styleId="28">
    <w:name w:val="页脚 字符"/>
    <w:basedOn w:val="22"/>
    <w:link w:val="13"/>
    <w:qFormat/>
    <w:uiPriority w:val="0"/>
    <w:rPr>
      <w:kern w:val="2"/>
      <w:sz w:val="18"/>
      <w:szCs w:val="18"/>
    </w:rPr>
  </w:style>
  <w:style w:type="paragraph" w:styleId="29">
    <w:name w:val="List Paragraph"/>
    <w:basedOn w:val="1"/>
    <w:qFormat/>
    <w:uiPriority w:val="0"/>
    <w:pPr>
      <w:ind w:firstLine="420" w:firstLineChars="200"/>
    </w:pPr>
  </w:style>
  <w:style w:type="character" w:customStyle="1" w:styleId="30">
    <w:name w:val="标题 3 字符"/>
    <w:basedOn w:val="22"/>
    <w:link w:val="4"/>
    <w:qFormat/>
    <w:uiPriority w:val="0"/>
    <w:rPr>
      <w:b/>
      <w:bCs/>
      <w:kern w:val="2"/>
      <w:sz w:val="32"/>
      <w:szCs w:val="32"/>
    </w:rPr>
  </w:style>
  <w:style w:type="character" w:customStyle="1" w:styleId="31">
    <w:name w:val="hei141"/>
    <w:basedOn w:val="22"/>
    <w:qFormat/>
    <w:uiPriority w:val="0"/>
    <w:rPr>
      <w:rFonts w:hint="eastAsia" w:ascii="宋体" w:hAnsi="宋体" w:eastAsia="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7" Type="http://schemas.microsoft.com/office/2011/relationships/chartColorStyle" Target="colors2.xml"/><Relationship Id="rId6" Type="http://schemas.microsoft.com/office/2011/relationships/chartStyle" Target="style2.xml"/><Relationship Id="rId5" Type="http://schemas.openxmlformats.org/officeDocument/2006/relationships/image" Target="../media/image4.png"/><Relationship Id="rId4" Type="http://schemas.openxmlformats.org/officeDocument/2006/relationships/image" Target="../media/image3.png"/><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7" Type="http://schemas.microsoft.com/office/2011/relationships/chartColorStyle" Target="colors1.xml"/><Relationship Id="rId6" Type="http://schemas.microsoft.com/office/2011/relationships/chartStyle" Target="style1.xml"/><Relationship Id="rId5" Type="http://schemas.openxmlformats.org/officeDocument/2006/relationships/image" Target="../media/image4.png"/><Relationship Id="rId4" Type="http://schemas.openxmlformats.org/officeDocument/2006/relationships/image" Target="../media/image3.png"/><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forceAA="0"/>
          <a:lstStyle/>
          <a:p>
            <a:pPr defTabSz="914400">
              <a:defRPr lang="zh-CN" sz="1400" b="0" i="0" u="none" strike="noStrike" kern="1200" spc="0" baseline="0">
                <a:solidFill>
                  <a:schemeClr val="tx1">
                    <a:lumMod val="65000"/>
                    <a:lumOff val="3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r>
              <a:t>收入决算表</a:t>
            </a:r>
          </a:p>
        </c:rich>
      </c:tx>
      <c:layout/>
      <c:overlay val="0"/>
      <c:spPr>
        <a:noFill/>
        <a:ln>
          <a:noFill/>
        </a:ln>
        <a:effectLst/>
      </c:spPr>
    </c:title>
    <c:autoTitleDeleted val="0"/>
    <c:plotArea>
      <c:layout>
        <c:manualLayout>
          <c:layoutTarget val="inner"/>
          <c:xMode val="edge"/>
          <c:yMode val="edge"/>
          <c:x val="0.303107928931318"/>
          <c:y val="0.209923664122137"/>
          <c:w val="0.413407584195174"/>
          <c:h val="0.661136556403732"/>
        </c:manualLayout>
      </c:layout>
      <c:pieChart>
        <c:varyColors val="1"/>
        <c:ser>
          <c:idx val="0"/>
          <c:order val="0"/>
          <c:tx>
            <c:strRef>
              <c:f>Sheet1!$B$1</c:f>
              <c:strCache>
                <c:ptCount val="1"/>
                <c:pt idx="0">
                  <c:v>收入决算表</c:v>
                </c:pt>
              </c:strCache>
            </c:strRef>
          </c:tx>
          <c:spPr/>
          <c:explosion val="0"/>
          <c:dPt>
            <c:idx val="0"/>
            <c:bubble3D val="0"/>
            <c:spPr>
              <a:solidFill>
                <a:srgbClr val="FD79AA"/>
              </a:solidFill>
              <a:ln w="19050">
                <a:solidFill>
                  <a:schemeClr val="lt1"/>
                </a:solidFill>
              </a:ln>
              <a:effectLst/>
            </c:spPr>
          </c:dPt>
          <c:dPt>
            <c:idx val="1"/>
            <c:bubble3D val="0"/>
            <c:spPr>
              <a:solidFill>
                <a:srgbClr val="FEB63B"/>
              </a:solidFill>
              <a:ln w="19050">
                <a:solidFill>
                  <a:schemeClr val="lt1"/>
                </a:solidFill>
              </a:ln>
              <a:effectLst/>
            </c:spPr>
          </c:dPt>
          <c:dPt>
            <c:idx val="2"/>
            <c:bubble3D val="0"/>
            <c:spPr>
              <a:solidFill>
                <a:srgbClr val="987292"/>
              </a:solidFill>
              <a:ln w="19050">
                <a:solidFill>
                  <a:schemeClr val="lt1"/>
                </a:solidFill>
              </a:ln>
              <a:effectLst/>
            </c:spPr>
          </c:dPt>
          <c:dPt>
            <c:idx val="3"/>
            <c:bubble3D val="0"/>
            <c:spPr>
              <a:solidFill>
                <a:srgbClr val="47B9B3"/>
              </a:solidFill>
              <a:ln w="19050">
                <a:solidFill>
                  <a:schemeClr val="lt1"/>
                </a:solidFill>
              </a:ln>
              <a:effectLst/>
            </c:spPr>
          </c:dPt>
          <c:dLbls>
            <c:dLbl>
              <c:idx val="1"/>
              <c:layout/>
              <c:numFmt formatCode="General" sourceLinked="1"/>
              <c:spPr>
                <a:blipFill rotWithShape="1">
                  <a:blip xmlns:r="http://schemas.openxmlformats.org/officeDocument/2006/relationships" r:embed="rId2"/>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2"/>
              <c:layout/>
              <c:numFmt formatCode="General" sourceLinked="1"/>
              <c:spPr>
                <a:blipFill rotWithShape="1">
                  <a:blip xmlns:r="http://schemas.openxmlformats.org/officeDocument/2006/relationships" r:embed="rId3"/>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3"/>
              <c:layout/>
              <c:numFmt formatCode="General" sourceLinked="1"/>
              <c:spPr>
                <a:blipFill rotWithShape="1">
                  <a:blip xmlns:r="http://schemas.openxmlformats.org/officeDocument/2006/relationships" r:embed="rId4"/>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extLst>
                <c:ext xmlns:c15="http://schemas.microsoft.com/office/drawing/2012/chart" uri="{CE6537A1-D6FC-4f65-9D91-7224C49458BB}"/>
              </c:extLst>
            </c:dLbl>
            <c:numFmt formatCode="General" sourceLinked="1"/>
            <c:spPr>
              <a:blipFill rotWithShape="1">
                <a:blip xmlns:r="http://schemas.openxmlformats.org/officeDocument/2006/relationships" r:embed="rId5"/>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一般公共预算财政拨款</c:v>
                </c:pt>
                <c:pt idx="1">
                  <c:v>政府性基金预算财政拨款收入</c:v>
                </c:pt>
                <c:pt idx="2">
                  <c:v>事业收入</c:v>
                </c:pt>
                <c:pt idx="3">
                  <c:v>其他收入</c:v>
                </c:pt>
              </c:strCache>
            </c:strRef>
          </c:cat>
          <c:val>
            <c:numRef>
              <c:f>Sheet1!$B$2:$B$5</c:f>
              <c:numCache>
                <c:formatCode>0.00%</c:formatCode>
                <c:ptCount val="4"/>
                <c:pt idx="0">
                  <c:v>0.7099</c:v>
                </c:pt>
                <c:pt idx="1">
                  <c:v>0.1125</c:v>
                </c:pt>
                <c:pt idx="2">
                  <c:v>0.1762</c:v>
                </c:pt>
                <c:pt idx="3">
                  <c:v>0.0014</c:v>
                </c:pt>
              </c:numCache>
            </c:numRef>
          </c:val>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forceAA="0"/>
        <a:lstStyle/>
        <a:p>
          <a:pPr>
            <a:defRPr lang="zh-CN" sz="1400" b="0" i="0" u="none" strike="noStrike" kern="1200" spc="0" baseline="0">
              <a:solidFill>
                <a:schemeClr val="tx1">
                  <a:lumMod val="65000"/>
                  <a:lumOff val="3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title>
    <c:autoTitleDeleted val="0"/>
    <c:plotArea>
      <c:layout>
        <c:manualLayout>
          <c:layoutTarget val="inner"/>
          <c:xMode val="edge"/>
          <c:yMode val="edge"/>
          <c:x val="0.303107928931318"/>
          <c:y val="0.209923664122137"/>
          <c:w val="0.413407584195174"/>
          <c:h val="0.661136556403732"/>
        </c:manualLayout>
      </c:layout>
      <c:pieChart>
        <c:varyColors val="1"/>
        <c:ser>
          <c:idx val="0"/>
          <c:order val="0"/>
          <c:tx>
            <c:strRef>
              <c:f>Sheet1!$B$1</c:f>
              <c:strCache>
                <c:ptCount val="1"/>
                <c:pt idx="0">
                  <c:v>支出决算图</c:v>
                </c:pt>
              </c:strCache>
            </c:strRef>
          </c:tx>
          <c:spPr/>
          <c:explosion val="0"/>
          <c:dPt>
            <c:idx val="0"/>
            <c:bubble3D val="0"/>
            <c:spPr>
              <a:solidFill>
                <a:srgbClr val="FD79AA"/>
              </a:solidFill>
              <a:ln w="19050">
                <a:solidFill>
                  <a:schemeClr val="lt1"/>
                </a:solidFill>
              </a:ln>
              <a:effectLst/>
            </c:spPr>
          </c:dPt>
          <c:dPt>
            <c:idx val="1"/>
            <c:bubble3D val="0"/>
            <c:spPr>
              <a:solidFill>
                <a:srgbClr val="FEB63B"/>
              </a:solidFill>
              <a:ln w="19050">
                <a:solidFill>
                  <a:schemeClr val="lt1"/>
                </a:solidFill>
              </a:ln>
              <a:effectLst/>
            </c:spPr>
          </c:dPt>
          <c:dPt>
            <c:idx val="2"/>
            <c:bubble3D val="0"/>
            <c:spPr>
              <a:solidFill>
                <a:srgbClr val="987292"/>
              </a:solidFill>
              <a:ln w="19050">
                <a:solidFill>
                  <a:schemeClr val="lt1"/>
                </a:solidFill>
              </a:ln>
              <a:effectLst/>
            </c:spPr>
          </c:dPt>
          <c:dPt>
            <c:idx val="3"/>
            <c:bubble3D val="0"/>
            <c:spPr>
              <a:solidFill>
                <a:srgbClr val="47B9B3"/>
              </a:solidFill>
              <a:ln w="19050">
                <a:solidFill>
                  <a:schemeClr val="lt1"/>
                </a:solidFill>
              </a:ln>
              <a:effectLst/>
            </c:spPr>
          </c:dPt>
          <c:dLbls>
            <c:dLbl>
              <c:idx val="1"/>
              <c:layout/>
              <c:numFmt formatCode="General" sourceLinked="1"/>
              <c:spPr>
                <a:blipFill rotWithShape="1">
                  <a:blip xmlns:r="http://schemas.openxmlformats.org/officeDocument/2006/relationships" r:embed="rId2"/>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2"/>
              <c:layout/>
              <c:numFmt formatCode="General" sourceLinked="1"/>
              <c:spPr>
                <a:blipFill rotWithShape="1">
                  <a:blip xmlns:r="http://schemas.openxmlformats.org/officeDocument/2006/relationships" r:embed="rId3"/>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extLst>
                <c:ext xmlns:c15="http://schemas.microsoft.com/office/drawing/2012/chart" uri="{CE6537A1-D6FC-4f65-9D91-7224C49458BB}"/>
              </c:extLst>
            </c:dLbl>
            <c:dLbl>
              <c:idx val="3"/>
              <c:layout/>
              <c:numFmt formatCode="General" sourceLinked="1"/>
              <c:spPr>
                <a:blipFill rotWithShape="1">
                  <a:blip xmlns:r="http://schemas.openxmlformats.org/officeDocument/2006/relationships" r:embed="rId4"/>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extLst>
                <c:ext xmlns:c15="http://schemas.microsoft.com/office/drawing/2012/chart" uri="{CE6537A1-D6FC-4f65-9D91-7224C49458BB}"/>
              </c:extLst>
            </c:dLbl>
            <c:numFmt formatCode="General" sourceLinked="1"/>
            <c:spPr>
              <a:blipFill rotWithShape="1">
                <a:blip xmlns:r="http://schemas.openxmlformats.org/officeDocument/2006/relationships" r:embed="rId5"/>
                <a:stretch>
                  <a:fillRect/>
                </a:stretch>
              </a:blipFill>
              <a:ln>
                <a:noFill/>
              </a:ln>
              <a:effectLst/>
            </c:spPr>
            <c:txPr>
              <a:bodyPr rot="0" spcFirstLastPara="0" vertOverflow="ellipsis" vert="horz" wrap="square" lIns="38100" tIns="19050" rIns="38100" bIns="19050" anchor="ctr" anchorCtr="1" forceAA="0"/>
              <a:lstStyle/>
              <a:p>
                <a:pPr>
                  <a:defRPr lang="zh-CN" sz="900" b="1"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基本支出</c:v>
                </c:pt>
                <c:pt idx="1">
                  <c:v>项目支出</c:v>
                </c:pt>
              </c:strCache>
            </c:strRef>
          </c:cat>
          <c:val>
            <c:numRef>
              <c:f>Sheet1!$B$2:$B$5</c:f>
              <c:numCache>
                <c:formatCode>0.00%</c:formatCode>
                <c:ptCount val="4"/>
                <c:pt idx="0">
                  <c:v>0.8379</c:v>
                </c:pt>
                <c:pt idx="1">
                  <c:v>0.1621</c:v>
                </c:pt>
              </c:numCache>
            </c:numRef>
          </c:val>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34</Pages>
  <Words>11506</Words>
  <Characters>12759</Characters>
  <Lines>1</Lines>
  <Paragraphs>1</Paragraphs>
  <TotalTime>107</TotalTime>
  <ScaleCrop>false</ScaleCrop>
  <LinksUpToDate>false</LinksUpToDate>
  <CharactersWithSpaces>13516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挛重拓疾骨</cp:lastModifiedBy>
  <cp:lastPrinted>2024-09-20T01:30:00Z</cp:lastPrinted>
  <dcterms:modified xsi:type="dcterms:W3CDTF">2024-09-20T03:41:38Z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867017D7AD614B3488039D2A138F30B7_12</vt:lpwstr>
  </property>
</Properties>
</file>